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AB96" w14:textId="77777777" w:rsidR="0099023D" w:rsidRPr="00672B79" w:rsidRDefault="0099023D" w:rsidP="0099023D">
      <w:pPr>
        <w:spacing w:after="0" w:line="276" w:lineRule="auto"/>
        <w:jc w:val="both"/>
        <w:rPr>
          <w:rFonts w:ascii="Arial" w:hAnsi="Arial" w:cs="Arial"/>
          <w:b/>
          <w:bCs/>
          <w:sz w:val="32"/>
          <w:szCs w:val="32"/>
        </w:rPr>
      </w:pPr>
      <w:bookmarkStart w:id="0" w:name="_GoBack"/>
      <w:bookmarkEnd w:id="0"/>
      <w:r w:rsidRPr="00672B79">
        <w:rPr>
          <w:rFonts w:ascii="Arial" w:hAnsi="Arial" w:cs="Arial"/>
          <w:b/>
          <w:bCs/>
          <w:sz w:val="32"/>
          <w:szCs w:val="32"/>
        </w:rPr>
        <w:t>Presentación del Plan de Trabajo para la Determinación de las Circunscripciones en las Demarcaciones Territoriales de la Ciudad de México, para el Proceso Electoral Local Ordinario 2020-2021</w:t>
      </w:r>
    </w:p>
    <w:p w14:paraId="4CB0A502" w14:textId="77777777" w:rsidR="0099023D" w:rsidRDefault="0099023D" w:rsidP="0099023D">
      <w:pPr>
        <w:spacing w:after="0" w:line="360" w:lineRule="auto"/>
        <w:jc w:val="both"/>
        <w:rPr>
          <w:rFonts w:ascii="Arial" w:hAnsi="Arial" w:cs="Arial"/>
          <w:sz w:val="32"/>
          <w:szCs w:val="32"/>
        </w:rPr>
      </w:pPr>
    </w:p>
    <w:p w14:paraId="2FB71FF5" w14:textId="77777777" w:rsidR="0099023D" w:rsidRPr="00672B79" w:rsidRDefault="0099023D" w:rsidP="0099023D">
      <w:pPr>
        <w:spacing w:after="0" w:line="360" w:lineRule="auto"/>
        <w:jc w:val="both"/>
        <w:rPr>
          <w:rFonts w:ascii="Arial" w:hAnsi="Arial" w:cs="Arial"/>
          <w:sz w:val="32"/>
          <w:szCs w:val="32"/>
        </w:rPr>
      </w:pPr>
    </w:p>
    <w:p w14:paraId="1F51D8DE" w14:textId="77777777" w:rsidR="0099023D" w:rsidRPr="00672B79" w:rsidRDefault="0099023D" w:rsidP="0099023D">
      <w:pPr>
        <w:spacing w:after="0" w:line="360" w:lineRule="auto"/>
        <w:jc w:val="both"/>
        <w:rPr>
          <w:rFonts w:ascii="Arial" w:hAnsi="Arial" w:cs="Arial"/>
          <w:b/>
          <w:bCs/>
          <w:sz w:val="32"/>
          <w:szCs w:val="32"/>
        </w:rPr>
      </w:pPr>
      <w:r w:rsidRPr="00672B79">
        <w:rPr>
          <w:rFonts w:ascii="Arial" w:hAnsi="Arial" w:cs="Arial"/>
          <w:b/>
          <w:bCs/>
          <w:sz w:val="32"/>
          <w:szCs w:val="32"/>
        </w:rPr>
        <w:t>¡Buenas tardes a todas y todos!</w:t>
      </w:r>
    </w:p>
    <w:p w14:paraId="21F96E7A" w14:textId="77777777" w:rsidR="0099023D" w:rsidRPr="00672B79" w:rsidRDefault="0099023D" w:rsidP="0099023D">
      <w:pPr>
        <w:spacing w:after="0" w:line="360" w:lineRule="auto"/>
        <w:jc w:val="both"/>
        <w:rPr>
          <w:rFonts w:ascii="Arial" w:hAnsi="Arial" w:cs="Arial"/>
          <w:sz w:val="32"/>
          <w:szCs w:val="32"/>
        </w:rPr>
      </w:pPr>
    </w:p>
    <w:p w14:paraId="79101024" w14:textId="77777777" w:rsidR="0099023D" w:rsidRDefault="0099023D" w:rsidP="0099023D">
      <w:pPr>
        <w:spacing w:after="0" w:line="360" w:lineRule="auto"/>
        <w:jc w:val="both"/>
        <w:rPr>
          <w:rFonts w:ascii="Arial" w:hAnsi="Arial" w:cs="Arial"/>
          <w:sz w:val="32"/>
          <w:szCs w:val="32"/>
        </w:rPr>
      </w:pPr>
      <w:r w:rsidRPr="00672B79">
        <w:rPr>
          <w:rFonts w:ascii="Arial" w:hAnsi="Arial" w:cs="Arial"/>
          <w:sz w:val="32"/>
          <w:szCs w:val="32"/>
        </w:rPr>
        <w:t xml:space="preserve">Agradezco </w:t>
      </w:r>
      <w:r>
        <w:rPr>
          <w:rFonts w:ascii="Arial" w:hAnsi="Arial" w:cs="Arial"/>
          <w:sz w:val="32"/>
          <w:szCs w:val="32"/>
        </w:rPr>
        <w:t>el acompañamiento en la realización de estos trabajos, por parte de:</w:t>
      </w:r>
    </w:p>
    <w:p w14:paraId="78481C67" w14:textId="77777777" w:rsidR="0099023D" w:rsidRDefault="0099023D" w:rsidP="0099023D">
      <w:pPr>
        <w:spacing w:after="0" w:line="360" w:lineRule="auto"/>
        <w:jc w:val="both"/>
        <w:rPr>
          <w:rFonts w:ascii="Arial" w:hAnsi="Arial" w:cs="Arial"/>
          <w:sz w:val="32"/>
          <w:szCs w:val="32"/>
        </w:rPr>
      </w:pPr>
    </w:p>
    <w:p w14:paraId="017687D8" w14:textId="77777777" w:rsidR="0099023D" w:rsidRPr="0099023D" w:rsidRDefault="0099023D" w:rsidP="0099023D">
      <w:pPr>
        <w:pStyle w:val="Prrafodelista"/>
        <w:numPr>
          <w:ilvl w:val="0"/>
          <w:numId w:val="2"/>
        </w:numPr>
        <w:spacing w:after="0" w:line="360" w:lineRule="auto"/>
        <w:jc w:val="both"/>
        <w:rPr>
          <w:rFonts w:ascii="Arial" w:eastAsia="Times New Roman" w:hAnsi="Arial" w:cs="Arial"/>
          <w:b/>
          <w:bCs/>
          <w:sz w:val="32"/>
          <w:szCs w:val="32"/>
          <w:lang w:eastAsia="es-MX"/>
        </w:rPr>
      </w:pPr>
      <w:r w:rsidRPr="0099023D">
        <w:rPr>
          <w:rFonts w:ascii="Arial" w:hAnsi="Arial" w:cs="Arial"/>
          <w:b/>
          <w:bCs/>
          <w:sz w:val="32"/>
          <w:szCs w:val="32"/>
        </w:rPr>
        <w:t xml:space="preserve">La </w:t>
      </w:r>
      <w:hyperlink r:id="rId7" w:history="1">
        <w:r w:rsidRPr="0099023D">
          <w:rPr>
            <w:rFonts w:ascii="Arial" w:eastAsia="Times New Roman" w:hAnsi="Arial" w:cs="Arial"/>
            <w:b/>
            <w:bCs/>
            <w:sz w:val="32"/>
            <w:szCs w:val="32"/>
            <w:lang w:eastAsia="es-MX"/>
          </w:rPr>
          <w:t>Secretaria de Pueblos y Barrios Originarios y Comunidades Indígenas Residentes</w:t>
        </w:r>
      </w:hyperlink>
      <w:r w:rsidRPr="0099023D">
        <w:rPr>
          <w:rFonts w:ascii="Arial" w:eastAsia="Times New Roman" w:hAnsi="Arial" w:cs="Arial"/>
          <w:b/>
          <w:bCs/>
          <w:sz w:val="32"/>
          <w:szCs w:val="32"/>
          <w:lang w:eastAsia="es-MX"/>
        </w:rPr>
        <w:t xml:space="preserve"> de la Ciudad de México </w:t>
      </w:r>
    </w:p>
    <w:p w14:paraId="3B4616A7" w14:textId="77777777" w:rsidR="0099023D" w:rsidRPr="0099023D" w:rsidRDefault="0099023D" w:rsidP="0099023D">
      <w:pPr>
        <w:pStyle w:val="Prrafodelista"/>
        <w:spacing w:after="0" w:line="276" w:lineRule="auto"/>
        <w:jc w:val="both"/>
        <w:rPr>
          <w:rFonts w:ascii="Arial" w:eastAsia="Times New Roman" w:hAnsi="Arial" w:cs="Arial"/>
          <w:b/>
          <w:bCs/>
          <w:sz w:val="32"/>
          <w:szCs w:val="32"/>
          <w:lang w:eastAsia="es-MX"/>
        </w:rPr>
      </w:pPr>
    </w:p>
    <w:p w14:paraId="0ADFCC74" w14:textId="77777777" w:rsidR="0099023D" w:rsidRPr="0099023D" w:rsidRDefault="0099023D" w:rsidP="0099023D">
      <w:pPr>
        <w:pStyle w:val="Prrafodelista"/>
        <w:numPr>
          <w:ilvl w:val="0"/>
          <w:numId w:val="2"/>
        </w:numPr>
        <w:rPr>
          <w:rFonts w:ascii="Arial" w:eastAsia="Times New Roman" w:hAnsi="Arial" w:cs="Arial"/>
          <w:b/>
          <w:bCs/>
          <w:sz w:val="32"/>
          <w:szCs w:val="32"/>
          <w:lang w:eastAsia="es-MX"/>
        </w:rPr>
      </w:pPr>
      <w:r w:rsidRPr="0099023D">
        <w:rPr>
          <w:rFonts w:ascii="Arial" w:eastAsia="Times New Roman" w:hAnsi="Arial" w:cs="Arial"/>
          <w:b/>
          <w:bCs/>
          <w:sz w:val="32"/>
          <w:szCs w:val="32"/>
          <w:lang w:eastAsia="es-MX"/>
        </w:rPr>
        <w:t>La Comisión de Derechos Humanos de la Ciudad de México</w:t>
      </w:r>
    </w:p>
    <w:p w14:paraId="46B33D88" w14:textId="77777777" w:rsidR="0099023D" w:rsidRPr="0099023D" w:rsidRDefault="0099023D" w:rsidP="0099023D">
      <w:pPr>
        <w:rPr>
          <w:rFonts w:ascii="Arial" w:eastAsia="Times New Roman" w:hAnsi="Arial" w:cs="Arial"/>
          <w:b/>
          <w:bCs/>
          <w:sz w:val="32"/>
          <w:szCs w:val="32"/>
          <w:lang w:eastAsia="es-MX"/>
        </w:rPr>
      </w:pPr>
    </w:p>
    <w:p w14:paraId="654C5781" w14:textId="77777777" w:rsidR="0099023D" w:rsidRDefault="0099023D" w:rsidP="0099023D">
      <w:pPr>
        <w:pStyle w:val="Prrafodelista"/>
        <w:numPr>
          <w:ilvl w:val="0"/>
          <w:numId w:val="2"/>
        </w:numPr>
        <w:spacing w:after="0" w:line="276" w:lineRule="auto"/>
        <w:jc w:val="both"/>
        <w:rPr>
          <w:rFonts w:ascii="Arial" w:eastAsia="Times New Roman" w:hAnsi="Arial" w:cs="Arial"/>
          <w:b/>
          <w:bCs/>
          <w:sz w:val="32"/>
          <w:szCs w:val="32"/>
          <w:lang w:eastAsia="es-MX"/>
        </w:rPr>
      </w:pPr>
      <w:r w:rsidRPr="0099023D">
        <w:rPr>
          <w:rFonts w:ascii="Arial" w:eastAsia="Times New Roman" w:hAnsi="Arial" w:cs="Arial"/>
          <w:b/>
          <w:bCs/>
          <w:sz w:val="32"/>
          <w:szCs w:val="32"/>
          <w:lang w:eastAsia="es-MX"/>
        </w:rPr>
        <w:t>El Consejo para Prevenir y Eliminar la Discriminación de la Ciudad de México</w:t>
      </w:r>
    </w:p>
    <w:p w14:paraId="3CC5EC8B" w14:textId="77777777" w:rsidR="0099023D" w:rsidRPr="0099023D" w:rsidRDefault="0099023D" w:rsidP="0099023D">
      <w:pPr>
        <w:pStyle w:val="Prrafodelista"/>
        <w:rPr>
          <w:rFonts w:ascii="Arial" w:eastAsia="Times New Roman" w:hAnsi="Arial" w:cs="Arial"/>
          <w:b/>
          <w:bCs/>
          <w:sz w:val="32"/>
          <w:szCs w:val="32"/>
          <w:lang w:eastAsia="es-MX"/>
        </w:rPr>
      </w:pPr>
    </w:p>
    <w:p w14:paraId="101073EE" w14:textId="77777777" w:rsidR="0099023D" w:rsidRPr="0099023D" w:rsidRDefault="0099023D" w:rsidP="0099023D">
      <w:pPr>
        <w:pStyle w:val="Prrafodelista"/>
        <w:rPr>
          <w:rFonts w:ascii="Arial" w:eastAsia="Times New Roman" w:hAnsi="Arial" w:cs="Arial"/>
          <w:b/>
          <w:bCs/>
          <w:sz w:val="32"/>
          <w:szCs w:val="32"/>
          <w:lang w:eastAsia="es-MX"/>
        </w:rPr>
      </w:pPr>
    </w:p>
    <w:p w14:paraId="623C265C" w14:textId="77777777" w:rsidR="0099023D" w:rsidRPr="0099023D" w:rsidRDefault="0099023D" w:rsidP="0099023D">
      <w:pPr>
        <w:pStyle w:val="Prrafodelista"/>
        <w:numPr>
          <w:ilvl w:val="0"/>
          <w:numId w:val="2"/>
        </w:numPr>
        <w:spacing w:after="0" w:line="360" w:lineRule="auto"/>
        <w:jc w:val="both"/>
        <w:rPr>
          <w:rFonts w:ascii="Arial" w:eastAsia="Times New Roman" w:hAnsi="Arial" w:cs="Arial"/>
          <w:b/>
          <w:bCs/>
          <w:sz w:val="32"/>
          <w:szCs w:val="32"/>
          <w:lang w:eastAsia="es-MX"/>
        </w:rPr>
      </w:pPr>
      <w:r w:rsidRPr="0099023D">
        <w:rPr>
          <w:rFonts w:ascii="Arial" w:eastAsia="Times New Roman" w:hAnsi="Arial" w:cs="Arial"/>
          <w:b/>
          <w:bCs/>
          <w:sz w:val="32"/>
          <w:szCs w:val="32"/>
          <w:lang w:eastAsia="es-MX"/>
        </w:rPr>
        <w:t>El Tribunal Electoral de la Ciudad de México.</w:t>
      </w:r>
    </w:p>
    <w:p w14:paraId="38987A67" w14:textId="77777777" w:rsidR="0099023D" w:rsidRPr="0099023D" w:rsidRDefault="0099023D" w:rsidP="0099023D">
      <w:pPr>
        <w:spacing w:after="0" w:line="360" w:lineRule="auto"/>
        <w:jc w:val="both"/>
        <w:rPr>
          <w:rFonts w:ascii="Arial" w:eastAsia="Times New Roman" w:hAnsi="Arial" w:cs="Arial"/>
          <w:b/>
          <w:bCs/>
          <w:sz w:val="32"/>
          <w:szCs w:val="32"/>
          <w:lang w:eastAsia="es-MX"/>
        </w:rPr>
      </w:pPr>
    </w:p>
    <w:p w14:paraId="4C9C993C" w14:textId="77777777" w:rsidR="0099023D" w:rsidRDefault="0099023D" w:rsidP="0099023D">
      <w:pPr>
        <w:spacing w:after="0" w:line="360" w:lineRule="auto"/>
        <w:jc w:val="both"/>
        <w:rPr>
          <w:rFonts w:ascii="Arial" w:eastAsia="Times New Roman" w:hAnsi="Arial" w:cs="Arial"/>
          <w:sz w:val="32"/>
          <w:szCs w:val="32"/>
          <w:lang w:eastAsia="es-MX"/>
        </w:rPr>
      </w:pPr>
    </w:p>
    <w:p w14:paraId="2EAF6824" w14:textId="77777777" w:rsidR="0099023D" w:rsidRPr="00672B79" w:rsidRDefault="0099023D" w:rsidP="0099023D">
      <w:pPr>
        <w:spacing w:after="0" w:line="360" w:lineRule="auto"/>
        <w:jc w:val="both"/>
        <w:rPr>
          <w:rFonts w:ascii="Arial" w:hAnsi="Arial" w:cs="Arial"/>
          <w:sz w:val="32"/>
          <w:szCs w:val="32"/>
        </w:rPr>
      </w:pPr>
      <w:r>
        <w:rPr>
          <w:rFonts w:ascii="Arial" w:hAnsi="Arial" w:cs="Arial"/>
          <w:sz w:val="32"/>
          <w:szCs w:val="32"/>
        </w:rPr>
        <w:t xml:space="preserve">Hemos iniciado </w:t>
      </w:r>
      <w:r w:rsidRPr="00672B79">
        <w:rPr>
          <w:rFonts w:ascii="Arial" w:hAnsi="Arial" w:cs="Arial"/>
          <w:sz w:val="32"/>
          <w:szCs w:val="32"/>
        </w:rPr>
        <w:t>los trabajos institucionales para actualizar la delimitación de las Circunscripciones en las que, en el próximo Proceso Electoral Local Ordinario, se asignarán concejales, figura que se incorporó en la Constitución Política de la Ciudad de México el 5 de febrero de 2017.</w:t>
      </w:r>
    </w:p>
    <w:p w14:paraId="1A3B02A6" w14:textId="77777777" w:rsidR="0099023D" w:rsidRPr="00672B79" w:rsidRDefault="0099023D" w:rsidP="0099023D">
      <w:pPr>
        <w:spacing w:after="0" w:line="360" w:lineRule="auto"/>
        <w:jc w:val="both"/>
        <w:rPr>
          <w:rFonts w:ascii="Arial" w:hAnsi="Arial" w:cs="Arial"/>
          <w:sz w:val="32"/>
          <w:szCs w:val="32"/>
        </w:rPr>
      </w:pPr>
    </w:p>
    <w:p w14:paraId="64E15E6A" w14:textId="77777777" w:rsidR="0099023D" w:rsidRPr="00672B79" w:rsidRDefault="0099023D" w:rsidP="0099023D">
      <w:pPr>
        <w:spacing w:after="0" w:line="360" w:lineRule="auto"/>
        <w:jc w:val="both"/>
        <w:rPr>
          <w:rFonts w:ascii="Arial" w:hAnsi="Arial" w:cs="Arial"/>
          <w:sz w:val="32"/>
          <w:szCs w:val="32"/>
        </w:rPr>
      </w:pPr>
      <w:r w:rsidRPr="00672B79">
        <w:rPr>
          <w:rFonts w:ascii="Arial" w:hAnsi="Arial" w:cs="Arial"/>
          <w:sz w:val="32"/>
          <w:szCs w:val="32"/>
        </w:rPr>
        <w:t>El acompañamiento de estas cuatro instituciones, en el ámbito de sus atribuciones, es primordial</w:t>
      </w:r>
      <w:r>
        <w:rPr>
          <w:rFonts w:ascii="Arial" w:hAnsi="Arial" w:cs="Arial"/>
          <w:sz w:val="32"/>
          <w:szCs w:val="32"/>
        </w:rPr>
        <w:t xml:space="preserve"> </w:t>
      </w:r>
      <w:r w:rsidRPr="00672B79">
        <w:rPr>
          <w:rFonts w:ascii="Arial" w:hAnsi="Arial" w:cs="Arial"/>
          <w:sz w:val="32"/>
          <w:szCs w:val="32"/>
        </w:rPr>
        <w:t>en el proceso de instrumentación de las consultas dirigidas a Pueblos y Barrios y Comunidades Indígenas Residentes en la Ciudad de México para consultarles acerca de la delimitación de dichas Circunscripciones y, sobre todo, para garantizar que, entre otros aspectos, se tutelen sus derechos político-electorales, y se respete la</w:t>
      </w:r>
      <w:r>
        <w:rPr>
          <w:rFonts w:ascii="Arial" w:hAnsi="Arial" w:cs="Arial"/>
          <w:sz w:val="32"/>
          <w:szCs w:val="32"/>
        </w:rPr>
        <w:t xml:space="preserve"> identidad con </w:t>
      </w:r>
      <w:r w:rsidRPr="00672B79">
        <w:rPr>
          <w:rFonts w:ascii="Arial" w:hAnsi="Arial" w:cs="Arial"/>
          <w:sz w:val="32"/>
          <w:szCs w:val="32"/>
        </w:rPr>
        <w:t>su territorio.</w:t>
      </w:r>
    </w:p>
    <w:p w14:paraId="34EFE69E" w14:textId="77777777" w:rsidR="0099023D" w:rsidRPr="00672B79" w:rsidRDefault="0099023D" w:rsidP="0099023D">
      <w:pPr>
        <w:spacing w:after="0" w:line="360" w:lineRule="auto"/>
        <w:jc w:val="both"/>
        <w:rPr>
          <w:rFonts w:ascii="Arial" w:hAnsi="Arial" w:cs="Arial"/>
          <w:sz w:val="32"/>
          <w:szCs w:val="32"/>
        </w:rPr>
      </w:pPr>
    </w:p>
    <w:p w14:paraId="726F1AA1" w14:textId="77777777" w:rsidR="0099023D" w:rsidRPr="00672B79" w:rsidRDefault="0099023D" w:rsidP="0099023D">
      <w:pPr>
        <w:spacing w:after="0" w:line="360" w:lineRule="auto"/>
        <w:jc w:val="both"/>
        <w:rPr>
          <w:rFonts w:ascii="Arial" w:hAnsi="Arial" w:cs="Arial"/>
          <w:sz w:val="32"/>
          <w:szCs w:val="32"/>
        </w:rPr>
      </w:pPr>
      <w:r>
        <w:rPr>
          <w:rFonts w:ascii="Arial" w:hAnsi="Arial" w:cs="Arial"/>
          <w:sz w:val="32"/>
          <w:szCs w:val="32"/>
        </w:rPr>
        <w:t xml:space="preserve">Saludo </w:t>
      </w:r>
      <w:r w:rsidR="00A72425">
        <w:rPr>
          <w:rFonts w:ascii="Arial" w:hAnsi="Arial" w:cs="Arial"/>
          <w:sz w:val="32"/>
          <w:szCs w:val="32"/>
        </w:rPr>
        <w:t xml:space="preserve">el </w:t>
      </w:r>
      <w:r>
        <w:rPr>
          <w:rFonts w:ascii="Arial" w:hAnsi="Arial" w:cs="Arial"/>
          <w:sz w:val="32"/>
          <w:szCs w:val="32"/>
        </w:rPr>
        <w:t xml:space="preserve">acompañamiento y trabajo, de mis compañeras </w:t>
      </w:r>
      <w:proofErr w:type="gramStart"/>
      <w:r>
        <w:rPr>
          <w:rFonts w:ascii="Arial" w:hAnsi="Arial" w:cs="Arial"/>
          <w:sz w:val="32"/>
          <w:szCs w:val="32"/>
        </w:rPr>
        <w:t>Consejeras</w:t>
      </w:r>
      <w:proofErr w:type="gramEnd"/>
      <w:r w:rsidR="00A72425">
        <w:rPr>
          <w:rFonts w:ascii="Arial" w:hAnsi="Arial" w:cs="Arial"/>
          <w:sz w:val="32"/>
          <w:szCs w:val="32"/>
        </w:rPr>
        <w:t xml:space="preserve"> integrantes de la Comisión de Organización, Carolina del Ángel Cruz y Gabriela Williams Salazar</w:t>
      </w:r>
      <w:r>
        <w:rPr>
          <w:rFonts w:ascii="Arial" w:hAnsi="Arial" w:cs="Arial"/>
          <w:sz w:val="32"/>
          <w:szCs w:val="32"/>
        </w:rPr>
        <w:t>, así como de los Consejeros Electorales; parte importante de este proceso representan los integrantes del Comité Circunscripciones 2020, quienes con su experiencia nos guiarán en este proceso</w:t>
      </w:r>
      <w:r w:rsidR="00794A01">
        <w:rPr>
          <w:rFonts w:ascii="Arial" w:hAnsi="Arial" w:cs="Arial"/>
          <w:sz w:val="32"/>
          <w:szCs w:val="32"/>
        </w:rPr>
        <w:t>.</w:t>
      </w:r>
    </w:p>
    <w:p w14:paraId="2B5D8D86" w14:textId="77777777" w:rsidR="0099023D" w:rsidRPr="00672B79" w:rsidRDefault="0099023D" w:rsidP="0099023D">
      <w:pPr>
        <w:spacing w:after="0" w:line="360" w:lineRule="auto"/>
        <w:jc w:val="both"/>
        <w:rPr>
          <w:rFonts w:ascii="Arial" w:hAnsi="Arial" w:cs="Arial"/>
          <w:sz w:val="32"/>
          <w:szCs w:val="32"/>
        </w:rPr>
      </w:pPr>
    </w:p>
    <w:p w14:paraId="3F0B0B0C" w14:textId="77777777" w:rsidR="0099023D" w:rsidRPr="00672B79" w:rsidRDefault="0099023D" w:rsidP="0099023D">
      <w:pPr>
        <w:spacing w:after="0" w:line="360" w:lineRule="auto"/>
        <w:jc w:val="both"/>
        <w:rPr>
          <w:rFonts w:ascii="Arial" w:hAnsi="Arial" w:cs="Arial"/>
          <w:sz w:val="32"/>
          <w:szCs w:val="32"/>
        </w:rPr>
      </w:pPr>
      <w:r w:rsidRPr="00672B79">
        <w:rPr>
          <w:rFonts w:ascii="Arial" w:hAnsi="Arial" w:cs="Arial"/>
          <w:sz w:val="32"/>
          <w:szCs w:val="32"/>
        </w:rPr>
        <w:t>En 2017, la Constitución Política de la Ciudad de México ordenó al Instituto Electoral a realizar la delimitación de las Circunscripciones en 30 días. La tarea constituyó un gran reto en el que nuestra institución desplegó toda su infraestructura</w:t>
      </w:r>
      <w:r>
        <w:rPr>
          <w:rFonts w:ascii="Arial" w:hAnsi="Arial" w:cs="Arial"/>
          <w:sz w:val="32"/>
          <w:szCs w:val="32"/>
        </w:rPr>
        <w:t>, llevando a cabo</w:t>
      </w:r>
      <w:r w:rsidRPr="00672B79">
        <w:rPr>
          <w:rFonts w:ascii="Arial" w:hAnsi="Arial" w:cs="Arial"/>
          <w:sz w:val="32"/>
          <w:szCs w:val="32"/>
        </w:rPr>
        <w:t xml:space="preserve"> las acciones </w:t>
      </w:r>
      <w:r>
        <w:rPr>
          <w:rFonts w:ascii="Arial" w:hAnsi="Arial" w:cs="Arial"/>
          <w:sz w:val="32"/>
          <w:szCs w:val="32"/>
        </w:rPr>
        <w:t>que dieron como resultado que e</w:t>
      </w:r>
      <w:r w:rsidRPr="00672B79">
        <w:rPr>
          <w:rFonts w:ascii="Arial" w:hAnsi="Arial" w:cs="Arial"/>
          <w:sz w:val="32"/>
          <w:szCs w:val="32"/>
        </w:rPr>
        <w:t xml:space="preserve">l 5 de julio de ese </w:t>
      </w:r>
      <w:r>
        <w:rPr>
          <w:rFonts w:ascii="Arial" w:hAnsi="Arial" w:cs="Arial"/>
          <w:sz w:val="32"/>
          <w:szCs w:val="32"/>
        </w:rPr>
        <w:t>2017</w:t>
      </w:r>
      <w:r w:rsidRPr="00672B79">
        <w:rPr>
          <w:rFonts w:ascii="Arial" w:hAnsi="Arial" w:cs="Arial"/>
          <w:sz w:val="32"/>
          <w:szCs w:val="32"/>
        </w:rPr>
        <w:t xml:space="preserve"> contáramos con 96 Circunscripciones. </w:t>
      </w:r>
    </w:p>
    <w:p w14:paraId="25B39C22" w14:textId="77777777" w:rsidR="0099023D" w:rsidRPr="00672B79" w:rsidRDefault="0099023D" w:rsidP="0099023D">
      <w:pPr>
        <w:spacing w:after="0" w:line="360" w:lineRule="auto"/>
        <w:jc w:val="both"/>
        <w:rPr>
          <w:rFonts w:ascii="Arial" w:hAnsi="Arial" w:cs="Arial"/>
          <w:sz w:val="32"/>
          <w:szCs w:val="32"/>
        </w:rPr>
      </w:pPr>
    </w:p>
    <w:p w14:paraId="767996D8" w14:textId="77777777" w:rsidR="0099023D" w:rsidRPr="00672B79" w:rsidRDefault="0099023D" w:rsidP="0099023D">
      <w:pPr>
        <w:spacing w:after="0" w:line="360" w:lineRule="auto"/>
        <w:jc w:val="both"/>
        <w:rPr>
          <w:rFonts w:ascii="Arial" w:hAnsi="Arial" w:cs="Arial"/>
          <w:sz w:val="32"/>
          <w:szCs w:val="32"/>
        </w:rPr>
      </w:pPr>
      <w:r w:rsidRPr="00672B79">
        <w:rPr>
          <w:rFonts w:ascii="Arial" w:hAnsi="Arial" w:cs="Arial"/>
          <w:sz w:val="32"/>
          <w:szCs w:val="32"/>
        </w:rPr>
        <w:t xml:space="preserve">Así, en 2018 se eligieron, por primera vez, concejales, una nueva figura de proximidad en las nuevas Alcaldías en beneficio de la población. </w:t>
      </w:r>
    </w:p>
    <w:p w14:paraId="319CDC26" w14:textId="77777777" w:rsidR="0099023D" w:rsidRPr="00672B79" w:rsidRDefault="0099023D" w:rsidP="0099023D">
      <w:pPr>
        <w:spacing w:after="0" w:line="360" w:lineRule="auto"/>
        <w:jc w:val="both"/>
        <w:rPr>
          <w:rFonts w:ascii="Arial" w:hAnsi="Arial" w:cs="Arial"/>
          <w:sz w:val="32"/>
          <w:szCs w:val="32"/>
        </w:rPr>
      </w:pPr>
    </w:p>
    <w:p w14:paraId="69B6650F" w14:textId="77777777" w:rsidR="0099023D" w:rsidRPr="00672B79" w:rsidRDefault="0099023D" w:rsidP="0099023D">
      <w:pPr>
        <w:spacing w:after="0" w:line="360" w:lineRule="auto"/>
        <w:jc w:val="both"/>
        <w:rPr>
          <w:rFonts w:ascii="Arial" w:hAnsi="Arial" w:cs="Arial"/>
          <w:sz w:val="32"/>
          <w:szCs w:val="32"/>
        </w:rPr>
      </w:pPr>
      <w:r>
        <w:rPr>
          <w:rFonts w:ascii="Arial" w:hAnsi="Arial" w:cs="Arial"/>
          <w:sz w:val="32"/>
          <w:szCs w:val="32"/>
        </w:rPr>
        <w:t>D</w:t>
      </w:r>
      <w:r w:rsidRPr="00672B79">
        <w:rPr>
          <w:rFonts w:ascii="Arial" w:hAnsi="Arial" w:cs="Arial"/>
          <w:sz w:val="32"/>
          <w:szCs w:val="32"/>
        </w:rPr>
        <w:t>e acuerdo con lo previsto en la citada Constitución y en el Código de Instituciones y Procedimientos Electorales de la Ciudad de México, en el proceso electoral 2020-2021 esta</w:t>
      </w:r>
      <w:r>
        <w:rPr>
          <w:rFonts w:ascii="Arial" w:hAnsi="Arial" w:cs="Arial"/>
          <w:sz w:val="32"/>
          <w:szCs w:val="32"/>
        </w:rPr>
        <w:t xml:space="preserve">mos </w:t>
      </w:r>
      <w:r w:rsidRPr="00672B79">
        <w:rPr>
          <w:rFonts w:ascii="Arial" w:hAnsi="Arial" w:cs="Arial"/>
          <w:sz w:val="32"/>
          <w:szCs w:val="32"/>
        </w:rPr>
        <w:t>convocados a realizar</w:t>
      </w:r>
      <w:r>
        <w:rPr>
          <w:rFonts w:ascii="Arial" w:hAnsi="Arial" w:cs="Arial"/>
          <w:sz w:val="32"/>
          <w:szCs w:val="32"/>
        </w:rPr>
        <w:t xml:space="preserve"> una nueva delimitación de circunscripciones, con diferencias en su conformación</w:t>
      </w:r>
      <w:r w:rsidRPr="00672B79">
        <w:rPr>
          <w:rFonts w:ascii="Arial" w:hAnsi="Arial" w:cs="Arial"/>
          <w:sz w:val="32"/>
          <w:szCs w:val="32"/>
        </w:rPr>
        <w:t>.</w:t>
      </w:r>
    </w:p>
    <w:p w14:paraId="154FE6B0" w14:textId="77777777" w:rsidR="0099023D" w:rsidRPr="00672B79" w:rsidRDefault="0099023D" w:rsidP="0099023D">
      <w:pPr>
        <w:spacing w:after="0" w:line="360" w:lineRule="auto"/>
        <w:jc w:val="both"/>
        <w:rPr>
          <w:rFonts w:ascii="Arial" w:hAnsi="Arial" w:cs="Arial"/>
          <w:sz w:val="32"/>
          <w:szCs w:val="32"/>
        </w:rPr>
      </w:pPr>
    </w:p>
    <w:p w14:paraId="3551B98B" w14:textId="77777777" w:rsidR="0099023D" w:rsidRPr="00672B79" w:rsidRDefault="0099023D" w:rsidP="0099023D">
      <w:pPr>
        <w:spacing w:after="0" w:line="360" w:lineRule="auto"/>
        <w:jc w:val="both"/>
        <w:rPr>
          <w:rFonts w:ascii="Arial" w:hAnsi="Arial" w:cs="Arial"/>
          <w:sz w:val="32"/>
          <w:szCs w:val="32"/>
        </w:rPr>
      </w:pPr>
      <w:r w:rsidRPr="00672B79">
        <w:rPr>
          <w:rFonts w:ascii="Arial" w:hAnsi="Arial" w:cs="Arial"/>
          <w:sz w:val="32"/>
          <w:szCs w:val="32"/>
        </w:rPr>
        <w:t>En virtud de lo anterior, nos dimos a la tarea de recuperar nuestras experiencias y el 28 de febrero de 2019</w:t>
      </w:r>
      <w:r>
        <w:rPr>
          <w:rFonts w:ascii="Arial" w:hAnsi="Arial" w:cs="Arial"/>
          <w:sz w:val="32"/>
          <w:szCs w:val="32"/>
        </w:rPr>
        <w:t xml:space="preserve">, </w:t>
      </w:r>
      <w:r w:rsidRPr="00672B79">
        <w:rPr>
          <w:rFonts w:ascii="Arial" w:hAnsi="Arial" w:cs="Arial"/>
          <w:sz w:val="32"/>
          <w:szCs w:val="32"/>
        </w:rPr>
        <w:t xml:space="preserve">nuestro Consejo General aprobó el </w:t>
      </w:r>
      <w:r w:rsidRPr="00794A01">
        <w:rPr>
          <w:rFonts w:ascii="Arial" w:hAnsi="Arial" w:cs="Arial"/>
          <w:b/>
          <w:bCs/>
          <w:i/>
          <w:iCs/>
          <w:sz w:val="32"/>
          <w:szCs w:val="32"/>
        </w:rPr>
        <w:t xml:space="preserve">Protocolo de Consulta a Pueblos y Barrios Originarios y Comunidades Indígenas Residentes de la Ciudad </w:t>
      </w:r>
      <w:r w:rsidRPr="00794A01">
        <w:rPr>
          <w:rFonts w:ascii="Arial" w:hAnsi="Arial" w:cs="Arial"/>
          <w:b/>
          <w:bCs/>
          <w:i/>
          <w:iCs/>
          <w:sz w:val="32"/>
          <w:szCs w:val="32"/>
        </w:rPr>
        <w:lastRenderedPageBreak/>
        <w:t>de México en Materia Electoral y de Participación Ciudadana</w:t>
      </w:r>
      <w:r w:rsidRPr="00672B79">
        <w:rPr>
          <w:rFonts w:ascii="Arial" w:hAnsi="Arial" w:cs="Arial"/>
          <w:sz w:val="32"/>
          <w:szCs w:val="32"/>
        </w:rPr>
        <w:t>, un documento en el que hemos hecho todo el esfuerzo institucional para reunir disposiciones que sean acordes con los estándares nacionales e internacional en materia de Consulta Indígena.</w:t>
      </w:r>
    </w:p>
    <w:p w14:paraId="1B47C78A" w14:textId="77777777" w:rsidR="0099023D" w:rsidRPr="00672B79" w:rsidRDefault="0099023D" w:rsidP="0099023D">
      <w:pPr>
        <w:spacing w:after="0" w:line="360" w:lineRule="auto"/>
        <w:jc w:val="both"/>
        <w:rPr>
          <w:rFonts w:ascii="Arial" w:hAnsi="Arial" w:cs="Arial"/>
          <w:sz w:val="32"/>
          <w:szCs w:val="32"/>
        </w:rPr>
      </w:pPr>
    </w:p>
    <w:p w14:paraId="2BBEBBE5" w14:textId="77777777" w:rsidR="0099023D" w:rsidRPr="00672B79" w:rsidRDefault="0099023D" w:rsidP="0099023D">
      <w:pPr>
        <w:spacing w:after="0" w:line="360" w:lineRule="auto"/>
        <w:jc w:val="both"/>
        <w:rPr>
          <w:rFonts w:ascii="Arial" w:hAnsi="Arial" w:cs="Arial"/>
          <w:sz w:val="32"/>
          <w:szCs w:val="32"/>
        </w:rPr>
      </w:pPr>
      <w:r w:rsidRPr="00672B79">
        <w:rPr>
          <w:rFonts w:ascii="Arial" w:hAnsi="Arial" w:cs="Arial"/>
          <w:sz w:val="32"/>
          <w:szCs w:val="32"/>
        </w:rPr>
        <w:t xml:space="preserve">Durante 2019 el Instituto Electoral ha realizado acciones para obtener e intercambiar información para conocer y ubicar mejor a las instancias representativas de la población indígena. Vale la pena mencionar que, mediante un convenio específico de apoyo y colaboración, estamos caminando juntos con la </w:t>
      </w:r>
      <w:r w:rsidRPr="003F5EC1">
        <w:rPr>
          <w:rFonts w:ascii="Arial" w:hAnsi="Arial" w:cs="Arial"/>
          <w:b/>
          <w:bCs/>
          <w:sz w:val="32"/>
          <w:szCs w:val="32"/>
        </w:rPr>
        <w:t>Secretaría de Pueblos y Barrios y Comunidades Indígenas Residentes</w:t>
      </w:r>
      <w:r w:rsidRPr="00672B79">
        <w:rPr>
          <w:rFonts w:ascii="Arial" w:hAnsi="Arial" w:cs="Arial"/>
          <w:sz w:val="32"/>
          <w:szCs w:val="32"/>
        </w:rPr>
        <w:t xml:space="preserve">. </w:t>
      </w:r>
    </w:p>
    <w:p w14:paraId="4F3B13F6" w14:textId="77777777" w:rsidR="0099023D" w:rsidRPr="00672B79" w:rsidRDefault="0099023D" w:rsidP="0099023D">
      <w:pPr>
        <w:spacing w:after="0" w:line="360" w:lineRule="auto"/>
        <w:jc w:val="both"/>
        <w:rPr>
          <w:rFonts w:ascii="Arial" w:hAnsi="Arial" w:cs="Arial"/>
          <w:sz w:val="32"/>
          <w:szCs w:val="32"/>
        </w:rPr>
      </w:pPr>
    </w:p>
    <w:p w14:paraId="2879A10E" w14:textId="77777777" w:rsidR="0099023D" w:rsidRPr="00672B79" w:rsidRDefault="0099023D" w:rsidP="0099023D">
      <w:pPr>
        <w:spacing w:after="0" w:line="360" w:lineRule="auto"/>
        <w:jc w:val="both"/>
        <w:rPr>
          <w:rFonts w:ascii="Arial" w:hAnsi="Arial" w:cs="Arial"/>
          <w:sz w:val="32"/>
          <w:szCs w:val="32"/>
        </w:rPr>
      </w:pPr>
      <w:r w:rsidRPr="00672B79">
        <w:rPr>
          <w:rFonts w:ascii="Arial" w:hAnsi="Arial" w:cs="Arial"/>
          <w:sz w:val="32"/>
          <w:szCs w:val="32"/>
        </w:rPr>
        <w:t xml:space="preserve">El pasado 29 de noviembre de 2019, nuestro Consejo General aprobó un </w:t>
      </w:r>
      <w:r w:rsidRPr="003F5EC1">
        <w:rPr>
          <w:rFonts w:ascii="Arial" w:hAnsi="Arial" w:cs="Arial"/>
          <w:sz w:val="32"/>
          <w:szCs w:val="32"/>
        </w:rPr>
        <w:t>Documento Rector para realizar esa delimitación e integró el referido Comité Técnico Asesor Circunscripciones 2020</w:t>
      </w:r>
      <w:r>
        <w:rPr>
          <w:rFonts w:ascii="Arial" w:hAnsi="Arial" w:cs="Arial"/>
          <w:sz w:val="32"/>
          <w:szCs w:val="32"/>
        </w:rPr>
        <w:t>.</w:t>
      </w:r>
      <w:r w:rsidRPr="00672B79">
        <w:rPr>
          <w:rFonts w:ascii="Arial" w:hAnsi="Arial" w:cs="Arial"/>
          <w:sz w:val="32"/>
          <w:szCs w:val="32"/>
        </w:rPr>
        <w:t xml:space="preserve"> </w:t>
      </w:r>
      <w:r>
        <w:rPr>
          <w:rFonts w:ascii="Arial" w:hAnsi="Arial" w:cs="Arial"/>
          <w:sz w:val="32"/>
          <w:szCs w:val="32"/>
        </w:rPr>
        <w:t xml:space="preserve">En el ejercicio de sus facultes el Comité Técnico fortaleció el documento en cita, y </w:t>
      </w:r>
      <w:r w:rsidRPr="00672B79">
        <w:rPr>
          <w:rFonts w:ascii="Arial" w:hAnsi="Arial" w:cs="Arial"/>
          <w:sz w:val="32"/>
          <w:szCs w:val="32"/>
        </w:rPr>
        <w:t>el pasado 31 de enero de 2020</w:t>
      </w:r>
      <w:r>
        <w:rPr>
          <w:rFonts w:ascii="Arial" w:hAnsi="Arial" w:cs="Arial"/>
          <w:sz w:val="32"/>
          <w:szCs w:val="32"/>
        </w:rPr>
        <w:t xml:space="preserve">, se aprobó por dicho Consejo General. </w:t>
      </w:r>
    </w:p>
    <w:p w14:paraId="5D246403" w14:textId="77777777" w:rsidR="0099023D" w:rsidRPr="00672B79" w:rsidRDefault="0099023D" w:rsidP="0099023D">
      <w:pPr>
        <w:spacing w:after="0" w:line="360" w:lineRule="auto"/>
        <w:jc w:val="both"/>
        <w:rPr>
          <w:rFonts w:ascii="Arial" w:hAnsi="Arial" w:cs="Arial"/>
          <w:sz w:val="32"/>
          <w:szCs w:val="32"/>
        </w:rPr>
      </w:pPr>
    </w:p>
    <w:p w14:paraId="581D9D55" w14:textId="77777777" w:rsidR="0099023D" w:rsidRPr="00672B79" w:rsidRDefault="0099023D" w:rsidP="0099023D">
      <w:pPr>
        <w:spacing w:after="0" w:line="360" w:lineRule="auto"/>
        <w:jc w:val="both"/>
        <w:rPr>
          <w:rFonts w:ascii="Arial" w:hAnsi="Arial" w:cs="Arial"/>
          <w:sz w:val="32"/>
          <w:szCs w:val="32"/>
        </w:rPr>
      </w:pPr>
      <w:r w:rsidRPr="00672B79">
        <w:rPr>
          <w:rFonts w:ascii="Arial" w:hAnsi="Arial" w:cs="Arial"/>
          <w:sz w:val="32"/>
          <w:szCs w:val="32"/>
        </w:rPr>
        <w:t xml:space="preserve">En el Documento Rector, de acuerdo con nuestro Protocolo de Consulta, se estableció la elaboración de un Plan de Trabajo para la Instrumentación de la delimitación de Circunscripciones y para </w:t>
      </w:r>
      <w:r w:rsidRPr="00672B79">
        <w:rPr>
          <w:rFonts w:ascii="Arial" w:hAnsi="Arial" w:cs="Arial"/>
          <w:sz w:val="32"/>
          <w:szCs w:val="32"/>
        </w:rPr>
        <w:lastRenderedPageBreak/>
        <w:t xml:space="preserve">la realización de asambleas comunitarias en el ámbito de las demarcaciones territoriales, lo más cercano a los Pueblos, Barrios y Comunidades. </w:t>
      </w:r>
    </w:p>
    <w:p w14:paraId="0329A258" w14:textId="77777777" w:rsidR="0099023D" w:rsidRPr="00672B79" w:rsidRDefault="0099023D" w:rsidP="0099023D">
      <w:pPr>
        <w:spacing w:after="0" w:line="360" w:lineRule="auto"/>
        <w:jc w:val="both"/>
        <w:rPr>
          <w:rFonts w:ascii="Arial" w:hAnsi="Arial" w:cs="Arial"/>
          <w:sz w:val="32"/>
          <w:szCs w:val="32"/>
        </w:rPr>
      </w:pPr>
    </w:p>
    <w:p w14:paraId="6F45C2FD" w14:textId="77777777" w:rsidR="0099023D" w:rsidRPr="00672B79" w:rsidRDefault="0099023D" w:rsidP="0099023D">
      <w:pPr>
        <w:spacing w:after="0" w:line="360" w:lineRule="auto"/>
        <w:jc w:val="both"/>
        <w:rPr>
          <w:rFonts w:ascii="Arial" w:hAnsi="Arial" w:cs="Arial"/>
          <w:sz w:val="32"/>
          <w:szCs w:val="32"/>
        </w:rPr>
      </w:pPr>
      <w:r w:rsidRPr="00672B79">
        <w:rPr>
          <w:rFonts w:ascii="Arial" w:hAnsi="Arial" w:cs="Arial"/>
          <w:sz w:val="32"/>
          <w:szCs w:val="32"/>
        </w:rPr>
        <w:t>En ese sentido, el Plan de Trabajo se encuentra dirigido a nuestras</w:t>
      </w:r>
      <w:r>
        <w:rPr>
          <w:rFonts w:ascii="Arial" w:hAnsi="Arial" w:cs="Arial"/>
          <w:sz w:val="32"/>
          <w:szCs w:val="32"/>
        </w:rPr>
        <w:t xml:space="preserve"> 33</w:t>
      </w:r>
      <w:r w:rsidRPr="00672B79">
        <w:rPr>
          <w:rFonts w:ascii="Arial" w:hAnsi="Arial" w:cs="Arial"/>
          <w:sz w:val="32"/>
          <w:szCs w:val="32"/>
        </w:rPr>
        <w:t xml:space="preserve"> Direcciones Distritales y tiene la finalidad de ofrecerles un contexto general de las acciones que se </w:t>
      </w:r>
      <w:r>
        <w:rPr>
          <w:rFonts w:ascii="Arial" w:hAnsi="Arial" w:cs="Arial"/>
          <w:sz w:val="32"/>
          <w:szCs w:val="32"/>
        </w:rPr>
        <w:t>desplegarán</w:t>
      </w:r>
      <w:r w:rsidRPr="00672B79">
        <w:rPr>
          <w:rFonts w:ascii="Arial" w:hAnsi="Arial" w:cs="Arial"/>
          <w:sz w:val="32"/>
          <w:szCs w:val="32"/>
        </w:rPr>
        <w:t xml:space="preserve"> desde el área central en conjunto con el Comité Técnico Asesor;</w:t>
      </w:r>
      <w:r>
        <w:rPr>
          <w:rFonts w:ascii="Arial" w:hAnsi="Arial" w:cs="Arial"/>
          <w:sz w:val="32"/>
          <w:szCs w:val="32"/>
        </w:rPr>
        <w:t xml:space="preserve"> siempre con el acompañamiento de las </w:t>
      </w:r>
      <w:proofErr w:type="gramStart"/>
      <w:r>
        <w:rPr>
          <w:rFonts w:ascii="Arial" w:hAnsi="Arial" w:cs="Arial"/>
          <w:sz w:val="32"/>
          <w:szCs w:val="32"/>
        </w:rPr>
        <w:t>Consejeras</w:t>
      </w:r>
      <w:proofErr w:type="gramEnd"/>
      <w:r>
        <w:rPr>
          <w:rFonts w:ascii="Arial" w:hAnsi="Arial" w:cs="Arial"/>
          <w:sz w:val="32"/>
          <w:szCs w:val="32"/>
        </w:rPr>
        <w:t xml:space="preserve"> integrantes de la Comisión de Organización.</w:t>
      </w:r>
    </w:p>
    <w:p w14:paraId="62564684" w14:textId="77777777" w:rsidR="0099023D" w:rsidRPr="00672B79" w:rsidRDefault="0099023D" w:rsidP="0099023D">
      <w:pPr>
        <w:spacing w:after="0" w:line="360" w:lineRule="auto"/>
        <w:jc w:val="both"/>
        <w:rPr>
          <w:rFonts w:ascii="Arial" w:hAnsi="Arial" w:cs="Arial"/>
          <w:sz w:val="32"/>
          <w:szCs w:val="32"/>
        </w:rPr>
      </w:pPr>
    </w:p>
    <w:p w14:paraId="22DC285F" w14:textId="77777777" w:rsidR="00794A01" w:rsidRPr="00672B79" w:rsidRDefault="00794A01" w:rsidP="00794A01">
      <w:pPr>
        <w:spacing w:after="0" w:line="360" w:lineRule="auto"/>
        <w:jc w:val="both"/>
        <w:rPr>
          <w:rFonts w:ascii="Arial" w:hAnsi="Arial" w:cs="Arial"/>
          <w:sz w:val="32"/>
          <w:szCs w:val="32"/>
        </w:rPr>
      </w:pPr>
      <w:r w:rsidRPr="00672B79">
        <w:rPr>
          <w:rFonts w:ascii="Arial" w:hAnsi="Arial" w:cs="Arial"/>
          <w:sz w:val="32"/>
          <w:szCs w:val="32"/>
        </w:rPr>
        <w:t>En correspondencia con lo anterior, el Plan de Trabajo se estructura en apartados muy concretos que nos muestran la hoja de ruta para el proceso de consulta:</w:t>
      </w:r>
    </w:p>
    <w:p w14:paraId="730585FF" w14:textId="77777777" w:rsidR="00794A01" w:rsidRPr="00672B79" w:rsidRDefault="00794A01" w:rsidP="00794A01">
      <w:pPr>
        <w:spacing w:after="0" w:line="360" w:lineRule="auto"/>
        <w:jc w:val="both"/>
        <w:rPr>
          <w:rFonts w:ascii="Arial" w:hAnsi="Arial" w:cs="Arial"/>
          <w:sz w:val="32"/>
          <w:szCs w:val="32"/>
        </w:rPr>
      </w:pPr>
    </w:p>
    <w:p w14:paraId="35F27E66"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Determinación de quienes participan en la Consulta,</w:t>
      </w:r>
    </w:p>
    <w:p w14:paraId="32E7E526"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Capacitación sobre el Protocolo,</w:t>
      </w:r>
    </w:p>
    <w:p w14:paraId="054EB155"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Capacitación sobre el propio Plan de Trabajo,</w:t>
      </w:r>
    </w:p>
    <w:p w14:paraId="36F5CB24"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Información sobre las actividades Comité Técnico referido,</w:t>
      </w:r>
    </w:p>
    <w:p w14:paraId="0E7F05F0"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Comunicación con las instancias que participan,</w:t>
      </w:r>
    </w:p>
    <w:p w14:paraId="3A138435"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 xml:space="preserve">Orientación y asesoría técnica, </w:t>
      </w:r>
    </w:p>
    <w:p w14:paraId="19C3ABB0"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lastRenderedPageBreak/>
        <w:t xml:space="preserve">Diseño, impresión y difusión de los carteles para convocar a las asambleas comunitarias, así como la elaboración y envío de oficios-convocatoria, </w:t>
      </w:r>
    </w:p>
    <w:p w14:paraId="029E4EE4"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Organización de las asambleas comunitarias informativas y consultivas,</w:t>
      </w:r>
    </w:p>
    <w:p w14:paraId="0E452D0A"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Elaboración de las actas de las asambleas,</w:t>
      </w:r>
    </w:p>
    <w:p w14:paraId="0EDD928F"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Envío de información y formulación de observaciones a la propuesta del Instituto Electoral denominada Primer Escenario de Circunscripciones para que, a partir de éste, se pueda llegar a un Escenario Final,</w:t>
      </w:r>
    </w:p>
    <w:p w14:paraId="654C2BB9"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Aprobación del Dictamen de Circunscripciones por las áreas competentes del Instituto Electoral: primero, la Comisión a mi cargo; y posteriormente, nuestro Consejo General,</w:t>
      </w:r>
    </w:p>
    <w:p w14:paraId="363645C1"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 xml:space="preserve">Seguimiento de acuerdos y compromisos adoptados, </w:t>
      </w:r>
    </w:p>
    <w:p w14:paraId="5B1EC604"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 xml:space="preserve">Integración del soporte de todo el proceso de consulta, </w:t>
      </w:r>
    </w:p>
    <w:p w14:paraId="469F7D8A" w14:textId="77777777" w:rsidR="00794A01" w:rsidRPr="00672B79"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Los casos que no hayamos podido prever, y la inclusión de un</w:t>
      </w:r>
      <w:r>
        <w:rPr>
          <w:rFonts w:ascii="Arial" w:hAnsi="Arial" w:cs="Arial"/>
          <w:sz w:val="32"/>
          <w:szCs w:val="32"/>
        </w:rPr>
        <w:t>,</w:t>
      </w:r>
    </w:p>
    <w:p w14:paraId="6F9FFB29" w14:textId="77777777" w:rsidR="00794A01" w:rsidRDefault="00794A01" w:rsidP="00794A01">
      <w:pPr>
        <w:pStyle w:val="Prrafodelista"/>
        <w:numPr>
          <w:ilvl w:val="0"/>
          <w:numId w:val="3"/>
        </w:numPr>
        <w:spacing w:after="0" w:line="360" w:lineRule="auto"/>
        <w:ind w:left="1134" w:hanging="850"/>
        <w:jc w:val="both"/>
        <w:rPr>
          <w:rFonts w:ascii="Arial" w:hAnsi="Arial" w:cs="Arial"/>
          <w:sz w:val="32"/>
          <w:szCs w:val="32"/>
        </w:rPr>
      </w:pPr>
      <w:r w:rsidRPr="00672B79">
        <w:rPr>
          <w:rFonts w:ascii="Arial" w:hAnsi="Arial" w:cs="Arial"/>
          <w:sz w:val="32"/>
          <w:szCs w:val="32"/>
        </w:rPr>
        <w:t>Cronograma de actividades.</w:t>
      </w:r>
    </w:p>
    <w:p w14:paraId="6773408A" w14:textId="77777777" w:rsidR="00794A01" w:rsidRDefault="00794A01" w:rsidP="00794A01">
      <w:pPr>
        <w:pStyle w:val="Prrafodelista"/>
        <w:spacing w:after="0" w:line="360" w:lineRule="auto"/>
        <w:ind w:left="1134"/>
        <w:jc w:val="both"/>
        <w:rPr>
          <w:rFonts w:ascii="Arial" w:hAnsi="Arial" w:cs="Arial"/>
          <w:sz w:val="32"/>
          <w:szCs w:val="32"/>
        </w:rPr>
      </w:pPr>
    </w:p>
    <w:p w14:paraId="4B7FD6A8" w14:textId="77777777" w:rsidR="00794A01" w:rsidRDefault="00794A01" w:rsidP="00794A01">
      <w:pPr>
        <w:pStyle w:val="Prrafodelista"/>
        <w:spacing w:after="0" w:line="360" w:lineRule="auto"/>
        <w:ind w:left="1134"/>
        <w:jc w:val="both"/>
        <w:rPr>
          <w:rFonts w:ascii="Arial" w:hAnsi="Arial" w:cs="Arial"/>
          <w:sz w:val="32"/>
          <w:szCs w:val="32"/>
        </w:rPr>
      </w:pPr>
    </w:p>
    <w:p w14:paraId="025AD3C9" w14:textId="77777777" w:rsidR="00794A01" w:rsidRDefault="00794A01" w:rsidP="00794A01">
      <w:pPr>
        <w:pStyle w:val="Prrafodelista"/>
        <w:spacing w:after="0" w:line="360" w:lineRule="auto"/>
        <w:ind w:left="1134"/>
        <w:jc w:val="both"/>
        <w:rPr>
          <w:rFonts w:ascii="Arial" w:hAnsi="Arial" w:cs="Arial"/>
          <w:sz w:val="32"/>
          <w:szCs w:val="32"/>
        </w:rPr>
      </w:pPr>
    </w:p>
    <w:p w14:paraId="717B76F2" w14:textId="77777777" w:rsidR="00794A01" w:rsidRDefault="00794A01" w:rsidP="0099023D">
      <w:pPr>
        <w:spacing w:after="0" w:line="360" w:lineRule="auto"/>
        <w:jc w:val="both"/>
        <w:rPr>
          <w:rFonts w:ascii="Arial" w:hAnsi="Arial" w:cs="Arial"/>
          <w:sz w:val="32"/>
          <w:szCs w:val="32"/>
        </w:rPr>
      </w:pPr>
    </w:p>
    <w:p w14:paraId="288F1336" w14:textId="77777777" w:rsidR="0099023D" w:rsidRPr="00672B79" w:rsidRDefault="0099023D" w:rsidP="0099023D">
      <w:pPr>
        <w:spacing w:after="0" w:line="360" w:lineRule="auto"/>
        <w:jc w:val="both"/>
        <w:rPr>
          <w:rFonts w:ascii="Arial" w:hAnsi="Arial" w:cs="Arial"/>
          <w:sz w:val="32"/>
          <w:szCs w:val="32"/>
        </w:rPr>
      </w:pPr>
      <w:r w:rsidRPr="00672B79">
        <w:rPr>
          <w:rFonts w:ascii="Arial" w:hAnsi="Arial" w:cs="Arial"/>
          <w:sz w:val="32"/>
          <w:szCs w:val="32"/>
        </w:rPr>
        <w:t>Es importante señalar que forman una triada indisoluble el Protocolo, el Documento Rector y el Plan de Trabajo, pues sus disposiciones se encuentran debidamente armonizadas.</w:t>
      </w:r>
    </w:p>
    <w:p w14:paraId="13E0BB63" w14:textId="77777777" w:rsidR="0099023D" w:rsidRPr="00672B79" w:rsidRDefault="0099023D" w:rsidP="0099023D">
      <w:pPr>
        <w:spacing w:after="0" w:line="360" w:lineRule="auto"/>
        <w:jc w:val="both"/>
        <w:rPr>
          <w:rFonts w:ascii="Arial" w:hAnsi="Arial" w:cs="Arial"/>
          <w:sz w:val="32"/>
          <w:szCs w:val="32"/>
        </w:rPr>
      </w:pPr>
    </w:p>
    <w:p w14:paraId="2F81845B" w14:textId="77777777" w:rsidR="0099023D" w:rsidRPr="00672B79" w:rsidRDefault="0099023D" w:rsidP="0099023D">
      <w:pPr>
        <w:spacing w:after="0" w:line="360" w:lineRule="auto"/>
        <w:jc w:val="both"/>
        <w:rPr>
          <w:rFonts w:ascii="Arial" w:hAnsi="Arial" w:cs="Arial"/>
          <w:sz w:val="32"/>
          <w:szCs w:val="32"/>
        </w:rPr>
      </w:pPr>
      <w:r w:rsidRPr="00672B79">
        <w:rPr>
          <w:rFonts w:ascii="Arial" w:hAnsi="Arial" w:cs="Arial"/>
          <w:sz w:val="32"/>
          <w:szCs w:val="32"/>
        </w:rPr>
        <w:t>Estos tres documentos se han elaborado considerando siempre las fases de toda Consulta Indígena: de acuerdos previos, informativa, deliberativa, consultiva, y de ejecución y seguimiento. Asimismo, no perdemos de vista siete elementos esenciales de toda consulta de este tipo: buena fe, libre, previa, informada, adecuada y accesible, deber de acomodo, y deber de adoptar decisiones razonadas</w:t>
      </w:r>
      <w:r>
        <w:rPr>
          <w:rFonts w:ascii="Arial" w:hAnsi="Arial" w:cs="Arial"/>
          <w:sz w:val="32"/>
          <w:szCs w:val="32"/>
        </w:rPr>
        <w:t>; siempre facilitando los procesos de información y comunicación con la Ciudadanía.</w:t>
      </w:r>
    </w:p>
    <w:p w14:paraId="16BF642A" w14:textId="77777777" w:rsidR="0099023D" w:rsidRPr="00672B79" w:rsidRDefault="0099023D" w:rsidP="0099023D">
      <w:pPr>
        <w:spacing w:after="0" w:line="360" w:lineRule="auto"/>
        <w:jc w:val="both"/>
        <w:rPr>
          <w:rFonts w:ascii="Arial" w:hAnsi="Arial" w:cs="Arial"/>
          <w:sz w:val="32"/>
          <w:szCs w:val="32"/>
        </w:rPr>
      </w:pPr>
    </w:p>
    <w:p w14:paraId="47724F36" w14:textId="77777777" w:rsidR="00794A01" w:rsidRDefault="0099023D" w:rsidP="0099023D">
      <w:pPr>
        <w:spacing w:after="0" w:line="360" w:lineRule="auto"/>
        <w:jc w:val="both"/>
        <w:rPr>
          <w:rFonts w:ascii="Arial" w:hAnsi="Arial" w:cs="Arial"/>
          <w:sz w:val="32"/>
          <w:szCs w:val="32"/>
        </w:rPr>
      </w:pPr>
      <w:r w:rsidRPr="00672B79">
        <w:rPr>
          <w:rFonts w:ascii="Arial" w:hAnsi="Arial" w:cs="Arial"/>
          <w:sz w:val="32"/>
          <w:szCs w:val="32"/>
        </w:rPr>
        <w:t>El Instituto Electoral se ha venido preparando para esta nueva delimitación y para esta nueva consulta</w:t>
      </w:r>
      <w:r>
        <w:rPr>
          <w:rFonts w:ascii="Arial" w:hAnsi="Arial" w:cs="Arial"/>
          <w:sz w:val="32"/>
          <w:szCs w:val="32"/>
        </w:rPr>
        <w:t>, prueba de ello es</w:t>
      </w:r>
      <w:r w:rsidRPr="00672B79">
        <w:rPr>
          <w:rFonts w:ascii="Arial" w:hAnsi="Arial" w:cs="Arial"/>
          <w:sz w:val="32"/>
          <w:szCs w:val="32"/>
        </w:rPr>
        <w:t xml:space="preserve"> Protocolo de Consulta</w:t>
      </w:r>
      <w:r>
        <w:rPr>
          <w:rFonts w:ascii="Arial" w:hAnsi="Arial" w:cs="Arial"/>
          <w:sz w:val="32"/>
          <w:szCs w:val="32"/>
        </w:rPr>
        <w:t xml:space="preserve"> que se ha traducido</w:t>
      </w:r>
      <w:r w:rsidRPr="00672B79">
        <w:rPr>
          <w:rFonts w:ascii="Arial" w:hAnsi="Arial" w:cs="Arial"/>
          <w:sz w:val="32"/>
          <w:szCs w:val="32"/>
        </w:rPr>
        <w:t xml:space="preserve"> en las cinco lenguas indígenas que </w:t>
      </w:r>
      <w:r>
        <w:rPr>
          <w:rFonts w:ascii="Arial" w:hAnsi="Arial" w:cs="Arial"/>
          <w:sz w:val="32"/>
          <w:szCs w:val="32"/>
        </w:rPr>
        <w:t xml:space="preserve">de acuerdo con </w:t>
      </w:r>
      <w:r w:rsidRPr="00672B79">
        <w:rPr>
          <w:rFonts w:ascii="Arial" w:hAnsi="Arial" w:cs="Arial"/>
          <w:sz w:val="32"/>
          <w:szCs w:val="32"/>
        </w:rPr>
        <w:t>diversas fuentes</w:t>
      </w:r>
      <w:r>
        <w:rPr>
          <w:rFonts w:ascii="Arial" w:hAnsi="Arial" w:cs="Arial"/>
          <w:sz w:val="32"/>
          <w:szCs w:val="32"/>
        </w:rPr>
        <w:t>, se</w:t>
      </w:r>
      <w:r w:rsidRPr="00672B79">
        <w:rPr>
          <w:rFonts w:ascii="Arial" w:hAnsi="Arial" w:cs="Arial"/>
          <w:sz w:val="32"/>
          <w:szCs w:val="32"/>
        </w:rPr>
        <w:t xml:space="preserve"> consideran las más habladas en la Ciudad de México: </w:t>
      </w:r>
      <w:r w:rsidRPr="00794A01">
        <w:rPr>
          <w:rFonts w:ascii="Arial" w:hAnsi="Arial" w:cs="Arial"/>
          <w:b/>
          <w:bCs/>
          <w:sz w:val="32"/>
          <w:szCs w:val="32"/>
        </w:rPr>
        <w:t>náhuatl, zapoteco, otomí, mixteco y mazahua</w:t>
      </w:r>
      <w:r w:rsidRPr="00672B79">
        <w:rPr>
          <w:rFonts w:ascii="Arial" w:hAnsi="Arial" w:cs="Arial"/>
          <w:sz w:val="32"/>
          <w:szCs w:val="32"/>
        </w:rPr>
        <w:t>.</w:t>
      </w:r>
      <w:r>
        <w:rPr>
          <w:rFonts w:ascii="Arial" w:hAnsi="Arial" w:cs="Arial"/>
          <w:sz w:val="32"/>
          <w:szCs w:val="32"/>
        </w:rPr>
        <w:t xml:space="preserve"> </w:t>
      </w:r>
    </w:p>
    <w:p w14:paraId="0755AE0D" w14:textId="77777777" w:rsidR="00794A01" w:rsidRDefault="00794A01" w:rsidP="0099023D">
      <w:pPr>
        <w:spacing w:after="0" w:line="360" w:lineRule="auto"/>
        <w:jc w:val="both"/>
        <w:rPr>
          <w:rFonts w:ascii="Arial" w:hAnsi="Arial" w:cs="Arial"/>
          <w:sz w:val="32"/>
          <w:szCs w:val="32"/>
        </w:rPr>
      </w:pPr>
    </w:p>
    <w:p w14:paraId="7D02DD9E" w14:textId="77777777" w:rsidR="0099023D" w:rsidRPr="00672B79" w:rsidRDefault="0099023D" w:rsidP="0099023D">
      <w:pPr>
        <w:spacing w:after="0" w:line="360" w:lineRule="auto"/>
        <w:jc w:val="both"/>
        <w:rPr>
          <w:rFonts w:ascii="Arial" w:hAnsi="Arial" w:cs="Arial"/>
          <w:sz w:val="32"/>
          <w:szCs w:val="32"/>
        </w:rPr>
      </w:pPr>
      <w:r>
        <w:rPr>
          <w:rFonts w:ascii="Arial" w:hAnsi="Arial" w:cs="Arial"/>
          <w:sz w:val="32"/>
          <w:szCs w:val="32"/>
        </w:rPr>
        <w:lastRenderedPageBreak/>
        <w:t xml:space="preserve">Agradecemos </w:t>
      </w:r>
      <w:r w:rsidR="00794A01">
        <w:rPr>
          <w:rFonts w:ascii="Arial" w:hAnsi="Arial" w:cs="Arial"/>
          <w:sz w:val="32"/>
          <w:szCs w:val="32"/>
        </w:rPr>
        <w:t>a todas y todos quienes interviene</w:t>
      </w:r>
      <w:r w:rsidR="0050030D">
        <w:rPr>
          <w:rFonts w:ascii="Arial" w:hAnsi="Arial" w:cs="Arial"/>
          <w:sz w:val="32"/>
          <w:szCs w:val="32"/>
        </w:rPr>
        <w:t>n</w:t>
      </w:r>
      <w:r w:rsidR="00794A01">
        <w:rPr>
          <w:rFonts w:ascii="Arial" w:hAnsi="Arial" w:cs="Arial"/>
          <w:sz w:val="32"/>
          <w:szCs w:val="32"/>
        </w:rPr>
        <w:t xml:space="preserve"> </w:t>
      </w:r>
      <w:r>
        <w:rPr>
          <w:rFonts w:ascii="Arial" w:hAnsi="Arial" w:cs="Arial"/>
          <w:sz w:val="32"/>
          <w:szCs w:val="32"/>
        </w:rPr>
        <w:t xml:space="preserve">que para este ejercicio </w:t>
      </w:r>
      <w:r w:rsidR="00794A01">
        <w:rPr>
          <w:rFonts w:ascii="Arial" w:hAnsi="Arial" w:cs="Arial"/>
          <w:sz w:val="32"/>
          <w:szCs w:val="32"/>
        </w:rPr>
        <w:t>se lleva a cabo y se difunda ampliamente entre los Pueblos, Barrios y Comunidades Indígenas Residentes en la Ciudad de México.</w:t>
      </w:r>
    </w:p>
    <w:p w14:paraId="71FCFFBD" w14:textId="77777777" w:rsidR="0099023D" w:rsidRPr="00672B79" w:rsidRDefault="0099023D" w:rsidP="0099023D">
      <w:pPr>
        <w:spacing w:after="0" w:line="360" w:lineRule="auto"/>
        <w:jc w:val="both"/>
        <w:rPr>
          <w:rFonts w:ascii="Arial" w:hAnsi="Arial" w:cs="Arial"/>
          <w:sz w:val="32"/>
          <w:szCs w:val="32"/>
        </w:rPr>
      </w:pPr>
    </w:p>
    <w:p w14:paraId="11EBF3EB" w14:textId="77777777" w:rsidR="001E4FAA" w:rsidRDefault="006E19F9" w:rsidP="0099023D">
      <w:pPr>
        <w:spacing w:after="0" w:line="360" w:lineRule="auto"/>
        <w:jc w:val="both"/>
        <w:rPr>
          <w:rFonts w:ascii="Arial" w:hAnsi="Arial" w:cs="Arial"/>
          <w:sz w:val="32"/>
          <w:szCs w:val="32"/>
        </w:rPr>
      </w:pPr>
      <w:r>
        <w:rPr>
          <w:rFonts w:ascii="Arial" w:hAnsi="Arial" w:cs="Arial"/>
          <w:sz w:val="32"/>
          <w:szCs w:val="32"/>
        </w:rPr>
        <w:t>Por último, las personas que deseen obtener información sobre el proceso de consulta lo pueden hacer a través del Centro de Información Telefónica del IECM al:</w:t>
      </w:r>
    </w:p>
    <w:p w14:paraId="23F93465" w14:textId="77777777" w:rsidR="006E19F9" w:rsidRDefault="006E19F9" w:rsidP="0099023D">
      <w:pPr>
        <w:spacing w:after="0" w:line="360" w:lineRule="auto"/>
        <w:jc w:val="both"/>
        <w:rPr>
          <w:rFonts w:ascii="Arial" w:hAnsi="Arial" w:cs="Arial"/>
          <w:sz w:val="32"/>
          <w:szCs w:val="32"/>
        </w:rPr>
      </w:pPr>
    </w:p>
    <w:p w14:paraId="2A5BDF1C" w14:textId="77777777" w:rsidR="006E19F9" w:rsidRPr="006E19F9" w:rsidRDefault="006E19F9" w:rsidP="0099023D">
      <w:pPr>
        <w:spacing w:after="0" w:line="360" w:lineRule="auto"/>
        <w:jc w:val="both"/>
        <w:rPr>
          <w:rFonts w:ascii="Arial" w:hAnsi="Arial" w:cs="Arial"/>
          <w:b/>
          <w:bCs/>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6E19F9">
        <w:rPr>
          <w:rFonts w:ascii="Arial" w:hAnsi="Arial" w:cs="Arial"/>
          <w:b/>
          <w:bCs/>
          <w:sz w:val="32"/>
          <w:szCs w:val="32"/>
        </w:rPr>
        <w:t>800 433 32 22</w:t>
      </w:r>
    </w:p>
    <w:sectPr w:rsidR="006E19F9" w:rsidRPr="006E19F9" w:rsidSect="00DD401F">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A382" w14:textId="77777777" w:rsidR="00381C3E" w:rsidRDefault="00381C3E">
      <w:pPr>
        <w:spacing w:after="0" w:line="240" w:lineRule="auto"/>
      </w:pPr>
      <w:r>
        <w:separator/>
      </w:r>
    </w:p>
  </w:endnote>
  <w:endnote w:type="continuationSeparator" w:id="0">
    <w:p w14:paraId="184D9218" w14:textId="77777777" w:rsidR="00381C3E" w:rsidRDefault="0038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034097"/>
      <w:docPartObj>
        <w:docPartGallery w:val="Page Numbers (Bottom of Page)"/>
        <w:docPartUnique/>
      </w:docPartObj>
    </w:sdtPr>
    <w:sdtEndPr>
      <w:rPr>
        <w:rFonts w:ascii="Arial" w:hAnsi="Arial" w:cs="Arial"/>
      </w:rPr>
    </w:sdtEndPr>
    <w:sdtContent>
      <w:p w14:paraId="5649832A" w14:textId="77777777" w:rsidR="00F35CE4" w:rsidRPr="00F35CE4" w:rsidRDefault="00381C3E">
        <w:pPr>
          <w:pStyle w:val="Piedepgina"/>
          <w:jc w:val="center"/>
          <w:rPr>
            <w:rFonts w:ascii="Arial" w:hAnsi="Arial" w:cs="Arial"/>
          </w:rPr>
        </w:pPr>
        <w:r w:rsidRPr="00F35CE4">
          <w:rPr>
            <w:rFonts w:ascii="Arial" w:hAnsi="Arial" w:cs="Arial"/>
          </w:rPr>
          <w:fldChar w:fldCharType="begin"/>
        </w:r>
        <w:r w:rsidRPr="00F35CE4">
          <w:rPr>
            <w:rFonts w:ascii="Arial" w:hAnsi="Arial" w:cs="Arial"/>
          </w:rPr>
          <w:instrText>PAGE   \* MERGEFORMAT</w:instrText>
        </w:r>
        <w:r w:rsidRPr="00F35CE4">
          <w:rPr>
            <w:rFonts w:ascii="Arial" w:hAnsi="Arial" w:cs="Arial"/>
          </w:rPr>
          <w:fldChar w:fldCharType="separate"/>
        </w:r>
        <w:r w:rsidRPr="00F35CE4">
          <w:rPr>
            <w:rFonts w:ascii="Arial" w:hAnsi="Arial" w:cs="Arial"/>
            <w:lang w:val="es-ES"/>
          </w:rPr>
          <w:t>2</w:t>
        </w:r>
        <w:r w:rsidRPr="00F35CE4">
          <w:rPr>
            <w:rFonts w:ascii="Arial" w:hAnsi="Arial" w:cs="Arial"/>
          </w:rPr>
          <w:fldChar w:fldCharType="end"/>
        </w:r>
      </w:p>
    </w:sdtContent>
  </w:sdt>
  <w:p w14:paraId="5D39CCF4" w14:textId="77777777" w:rsidR="00F35CE4" w:rsidRDefault="00381C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AED5" w14:textId="77777777" w:rsidR="00381C3E" w:rsidRDefault="00381C3E">
      <w:pPr>
        <w:spacing w:after="0" w:line="240" w:lineRule="auto"/>
      </w:pPr>
      <w:r>
        <w:separator/>
      </w:r>
    </w:p>
  </w:footnote>
  <w:footnote w:type="continuationSeparator" w:id="0">
    <w:p w14:paraId="6C2C6503" w14:textId="77777777" w:rsidR="00381C3E" w:rsidRDefault="00381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F58A" w14:textId="77777777" w:rsidR="00BC6B24" w:rsidRDefault="00381C3E" w:rsidP="00DD401F">
    <w:pPr>
      <w:spacing w:after="0" w:line="240" w:lineRule="auto"/>
      <w:jc w:val="right"/>
      <w:rPr>
        <w:rFonts w:ascii="Arial" w:hAnsi="Arial" w:cs="Arial"/>
        <w:b/>
        <w:bCs/>
        <w:sz w:val="24"/>
        <w:szCs w:val="24"/>
      </w:rPr>
    </w:pPr>
  </w:p>
  <w:p w14:paraId="6AFA63BB" w14:textId="77777777" w:rsidR="00DD401F" w:rsidRDefault="00381C3E" w:rsidP="00DD401F">
    <w:pPr>
      <w:spacing w:after="0" w:line="240" w:lineRule="auto"/>
      <w:jc w:val="right"/>
      <w:rPr>
        <w:rFonts w:ascii="Arial" w:hAnsi="Arial" w:cs="Arial"/>
        <w:b/>
        <w:bCs/>
        <w:sz w:val="24"/>
        <w:szCs w:val="24"/>
      </w:rPr>
    </w:pPr>
    <w:r>
      <w:rPr>
        <w:noProof/>
      </w:rPr>
      <w:drawing>
        <wp:anchor distT="0" distB="0" distL="114300" distR="114300" simplePos="0" relativeHeight="251659264" behindDoc="0" locked="0" layoutInCell="1" allowOverlap="1" wp14:anchorId="2208E109" wp14:editId="49ADDA3B">
          <wp:simplePos x="0" y="0"/>
          <wp:positionH relativeFrom="margin">
            <wp:align>left</wp:align>
          </wp:positionH>
          <wp:positionV relativeFrom="paragraph">
            <wp:posOffset>-2539</wp:posOffset>
          </wp:positionV>
          <wp:extent cx="1076325" cy="6157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15740"/>
                  </a:xfrm>
                  <a:prstGeom prst="rect">
                    <a:avLst/>
                  </a:prstGeom>
                  <a:noFill/>
                </pic:spPr>
              </pic:pic>
            </a:graphicData>
          </a:graphic>
          <wp14:sizeRelH relativeFrom="margin">
            <wp14:pctWidth>0</wp14:pctWidth>
          </wp14:sizeRelH>
          <wp14:sizeRelV relativeFrom="margin">
            <wp14:pctHeight>0</wp14:pctHeight>
          </wp14:sizeRelV>
        </wp:anchor>
      </w:drawing>
    </w:r>
    <w:r w:rsidRPr="00DD401F">
      <w:rPr>
        <w:rFonts w:ascii="Arial" w:hAnsi="Arial" w:cs="Arial"/>
        <w:b/>
        <w:bCs/>
        <w:sz w:val="24"/>
        <w:szCs w:val="24"/>
      </w:rPr>
      <w:t>Oficina de la Consejera Electoral</w:t>
    </w:r>
  </w:p>
  <w:p w14:paraId="22D0EA68" w14:textId="77777777" w:rsidR="00DD401F" w:rsidRPr="00DD401F" w:rsidRDefault="00381C3E" w:rsidP="00DD401F">
    <w:pPr>
      <w:spacing w:after="0" w:line="240" w:lineRule="auto"/>
      <w:jc w:val="right"/>
      <w:rPr>
        <w:rFonts w:ascii="Arial" w:hAnsi="Arial" w:cs="Arial"/>
        <w:b/>
        <w:bCs/>
        <w:sz w:val="24"/>
        <w:szCs w:val="24"/>
      </w:rPr>
    </w:pPr>
    <w:r w:rsidRPr="00DD401F">
      <w:rPr>
        <w:rFonts w:ascii="Arial" w:hAnsi="Arial" w:cs="Arial"/>
        <w:b/>
        <w:bCs/>
        <w:sz w:val="24"/>
        <w:szCs w:val="24"/>
      </w:rPr>
      <w:t>Myriam Alarcón Reyes</w:t>
    </w:r>
  </w:p>
  <w:p w14:paraId="43BD59CB" w14:textId="77777777" w:rsidR="00DD401F" w:rsidRDefault="00381C3E">
    <w:pPr>
      <w:pStyle w:val="Encabezado"/>
    </w:pPr>
  </w:p>
  <w:p w14:paraId="522A9B8F" w14:textId="77777777" w:rsidR="00DD401F" w:rsidRDefault="00381C3E">
    <w:pPr>
      <w:pStyle w:val="Encabezado"/>
    </w:pPr>
  </w:p>
  <w:p w14:paraId="479E9C7C" w14:textId="77777777" w:rsidR="00DD401F" w:rsidRDefault="00381C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3345E"/>
    <w:multiLevelType w:val="hybridMultilevel"/>
    <w:tmpl w:val="3446C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A24C63"/>
    <w:multiLevelType w:val="hybridMultilevel"/>
    <w:tmpl w:val="55C832D6"/>
    <w:lvl w:ilvl="0" w:tplc="B21C649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15E6E96"/>
    <w:multiLevelType w:val="hybridMultilevel"/>
    <w:tmpl w:val="BD445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3D"/>
    <w:rsid w:val="001E4FAA"/>
    <w:rsid w:val="00381C3E"/>
    <w:rsid w:val="0050030D"/>
    <w:rsid w:val="006E19F9"/>
    <w:rsid w:val="00794A01"/>
    <w:rsid w:val="0099023D"/>
    <w:rsid w:val="00A72425"/>
    <w:rsid w:val="00AB0DC7"/>
    <w:rsid w:val="00C40B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50F1"/>
  <w15:chartTrackingRefBased/>
  <w15:docId w15:val="{C32779E3-477F-4E23-B9E5-1F671061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0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023D"/>
  </w:style>
  <w:style w:type="paragraph" w:styleId="Piedepgina">
    <w:name w:val="footer"/>
    <w:basedOn w:val="Normal"/>
    <w:link w:val="PiedepginaCar"/>
    <w:uiPriority w:val="99"/>
    <w:unhideWhenUsed/>
    <w:rsid w:val="00990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023D"/>
  </w:style>
  <w:style w:type="paragraph" w:styleId="Prrafodelista">
    <w:name w:val="List Paragraph"/>
    <w:basedOn w:val="Normal"/>
    <w:uiPriority w:val="34"/>
    <w:qFormat/>
    <w:rsid w:val="0099023D"/>
    <w:pPr>
      <w:ind w:left="720"/>
      <w:contextualSpacing/>
    </w:pPr>
  </w:style>
  <w:style w:type="paragraph" w:styleId="Textodeglobo">
    <w:name w:val="Balloon Text"/>
    <w:basedOn w:val="Normal"/>
    <w:link w:val="TextodegloboCar"/>
    <w:uiPriority w:val="99"/>
    <w:semiHidden/>
    <w:unhideWhenUsed/>
    <w:rsid w:val="005003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pi.cdmx.gob.mx/secretaria/estructur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1090</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Arteaga Ku</dc:creator>
  <cp:keywords/>
  <dc:description/>
  <cp:lastModifiedBy>Susana Hernández Polo</cp:lastModifiedBy>
  <cp:revision>2</cp:revision>
  <cp:lastPrinted>2020-02-12T17:33:00Z</cp:lastPrinted>
  <dcterms:created xsi:type="dcterms:W3CDTF">2020-02-12T17:33:00Z</dcterms:created>
  <dcterms:modified xsi:type="dcterms:W3CDTF">2020-02-12T17:33:00Z</dcterms:modified>
</cp:coreProperties>
</file>