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1F479" w14:textId="77777777" w:rsidR="00CB2587" w:rsidRPr="00F84BDE" w:rsidRDefault="00CB2587" w:rsidP="00CB2587">
      <w:pPr>
        <w:jc w:val="center"/>
        <w:rPr>
          <w:rFonts w:ascii="Avenir Next LT Pro Light" w:hAnsi="Avenir Next LT Pro Light" w:cs="Arial"/>
          <w:b/>
          <w:bCs/>
          <w:sz w:val="24"/>
          <w:szCs w:val="24"/>
        </w:rPr>
      </w:pPr>
      <w:r w:rsidRPr="00F84BDE">
        <w:rPr>
          <w:rFonts w:ascii="Avenir Next LT Pro Light" w:hAnsi="Avenir Next LT Pro Light" w:cs="Arial"/>
          <w:b/>
          <w:bCs/>
          <w:sz w:val="24"/>
          <w:szCs w:val="24"/>
        </w:rPr>
        <w:t>Consideraciones generales para la coordinación de las actividades de las</w:t>
      </w:r>
    </w:p>
    <w:p w14:paraId="29BCAA83" w14:textId="5A8FD6AB" w:rsidR="00CB2587" w:rsidRPr="00F84BDE" w:rsidRDefault="00CB2587" w:rsidP="00CB2587">
      <w:pPr>
        <w:jc w:val="center"/>
        <w:rPr>
          <w:rFonts w:ascii="Avenir Next LT Pro Light" w:hAnsi="Avenir Next LT Pro Light" w:cs="Arial"/>
          <w:b/>
          <w:bCs/>
          <w:sz w:val="24"/>
          <w:szCs w:val="24"/>
        </w:rPr>
      </w:pPr>
      <w:r w:rsidRPr="00F84BDE">
        <w:rPr>
          <w:rFonts w:ascii="Avenir Next LT Pro Light" w:hAnsi="Avenir Next LT Pro Light" w:cs="Arial"/>
          <w:b/>
          <w:bCs/>
          <w:sz w:val="24"/>
          <w:szCs w:val="24"/>
        </w:rPr>
        <w:t>personas prestadoras de servicio social</w:t>
      </w:r>
      <w:r w:rsidR="00366D92">
        <w:rPr>
          <w:rFonts w:ascii="Avenir Next LT Pro Light" w:hAnsi="Avenir Next LT Pro Light" w:cs="Arial"/>
          <w:b/>
          <w:bCs/>
          <w:sz w:val="24"/>
          <w:szCs w:val="24"/>
        </w:rPr>
        <w:t>.</w:t>
      </w:r>
    </w:p>
    <w:p w14:paraId="45E63FC0" w14:textId="77777777" w:rsidR="00CB2587" w:rsidRPr="00F84BDE" w:rsidRDefault="00CB2587" w:rsidP="00CB2587">
      <w:pPr>
        <w:jc w:val="center"/>
        <w:rPr>
          <w:rFonts w:ascii="Avenir Next LT Pro Light" w:hAnsi="Avenir Next LT Pro Light" w:cs="Arial"/>
          <w:sz w:val="24"/>
          <w:szCs w:val="24"/>
        </w:rPr>
      </w:pPr>
    </w:p>
    <w:p w14:paraId="2D2892A0" w14:textId="77777777" w:rsidR="00CB2587" w:rsidRPr="00F84BDE" w:rsidRDefault="00CB2587" w:rsidP="00CB2587">
      <w:pPr>
        <w:pStyle w:val="Prrafodelista"/>
        <w:widowControl/>
        <w:numPr>
          <w:ilvl w:val="0"/>
          <w:numId w:val="1"/>
        </w:numPr>
        <w:autoSpaceDE/>
        <w:autoSpaceDN/>
        <w:spacing w:after="120"/>
        <w:jc w:val="both"/>
        <w:rPr>
          <w:rFonts w:ascii="Avenir Next LT Pro Light" w:hAnsi="Avenir Next LT Pro Light" w:cs="Arial"/>
          <w:sz w:val="24"/>
          <w:szCs w:val="24"/>
        </w:rPr>
      </w:pPr>
      <w:r w:rsidRPr="00F84BDE">
        <w:rPr>
          <w:rFonts w:ascii="Avenir Next LT Pro Light" w:hAnsi="Avenir Next LT Pro Light" w:cs="Arial"/>
          <w:sz w:val="24"/>
          <w:szCs w:val="24"/>
        </w:rPr>
        <w:t xml:space="preserve">El funcionariado del Instituto Electoral de la Ciudad de México (IECM) deberá reconocer a las y los estudiantes como partícipes de un proceso de formación profesional. </w:t>
      </w:r>
    </w:p>
    <w:p w14:paraId="088DD0DB" w14:textId="77777777" w:rsidR="00CB2587" w:rsidRPr="00F84BDE" w:rsidRDefault="00CB2587" w:rsidP="00CB2587">
      <w:pPr>
        <w:pStyle w:val="Prrafodelista"/>
        <w:widowControl/>
        <w:numPr>
          <w:ilvl w:val="0"/>
          <w:numId w:val="1"/>
        </w:numPr>
        <w:autoSpaceDE/>
        <w:autoSpaceDN/>
        <w:spacing w:after="120"/>
        <w:jc w:val="both"/>
        <w:rPr>
          <w:rFonts w:ascii="Avenir Next LT Pro Light" w:hAnsi="Avenir Next LT Pro Light" w:cs="Arial"/>
          <w:sz w:val="24"/>
          <w:szCs w:val="24"/>
        </w:rPr>
      </w:pPr>
      <w:r w:rsidRPr="00F84BDE">
        <w:rPr>
          <w:rFonts w:ascii="Avenir Next LT Pro Light" w:hAnsi="Avenir Next LT Pro Light" w:cs="Arial"/>
          <w:sz w:val="24"/>
          <w:szCs w:val="24"/>
        </w:rPr>
        <w:t>El IECM, a través de cada una de las personas funcionarias que participan en esta Actividad Institucional, es responsable ante las y los estudiantes y las instituciones educativas del éxito que alcance este proceso formativo.</w:t>
      </w:r>
    </w:p>
    <w:p w14:paraId="43921509" w14:textId="77777777" w:rsidR="00CB2587" w:rsidRPr="00F84BDE" w:rsidRDefault="00CB2587" w:rsidP="00CB2587">
      <w:pPr>
        <w:pStyle w:val="Prrafodelista"/>
        <w:widowControl/>
        <w:numPr>
          <w:ilvl w:val="0"/>
          <w:numId w:val="1"/>
        </w:numPr>
        <w:tabs>
          <w:tab w:val="left" w:pos="951"/>
        </w:tabs>
        <w:autoSpaceDE/>
        <w:autoSpaceDN/>
        <w:spacing w:after="120"/>
        <w:jc w:val="both"/>
        <w:rPr>
          <w:rFonts w:ascii="Avenir Next LT Pro Light" w:hAnsi="Avenir Next LT Pro Light" w:cs="Arial"/>
          <w:sz w:val="24"/>
          <w:szCs w:val="24"/>
        </w:rPr>
      </w:pPr>
      <w:r w:rsidRPr="00F84BDE">
        <w:rPr>
          <w:rFonts w:ascii="Avenir Next LT Pro Light" w:hAnsi="Avenir Next LT Pro Light" w:cs="Arial"/>
          <w:sz w:val="24"/>
          <w:szCs w:val="24"/>
        </w:rPr>
        <w:t xml:space="preserve">El IECM, a través de los órganos desconcentrados, es responsable de ofrecer una adecuada capacitación, acompañamiento permanente y los recursos necesarios para el desarrollo de las actividades encomendadas a las personas prestadoras de servicio social. </w:t>
      </w:r>
    </w:p>
    <w:p w14:paraId="563DCBF1" w14:textId="77777777" w:rsidR="00CB2587" w:rsidRPr="00F84BDE" w:rsidRDefault="00CB2587" w:rsidP="00CB2587">
      <w:pPr>
        <w:pStyle w:val="Prrafodelista"/>
        <w:widowControl/>
        <w:numPr>
          <w:ilvl w:val="0"/>
          <w:numId w:val="1"/>
        </w:numPr>
        <w:tabs>
          <w:tab w:val="left" w:pos="951"/>
        </w:tabs>
        <w:autoSpaceDE/>
        <w:autoSpaceDN/>
        <w:spacing w:after="120"/>
        <w:jc w:val="both"/>
        <w:rPr>
          <w:rFonts w:ascii="Avenir Next LT Pro Light" w:hAnsi="Avenir Next LT Pro Light" w:cs="Arial"/>
          <w:sz w:val="24"/>
          <w:szCs w:val="24"/>
        </w:rPr>
      </w:pPr>
      <w:r w:rsidRPr="00F84BDE">
        <w:rPr>
          <w:rFonts w:ascii="Avenir Next LT Pro Light" w:hAnsi="Avenir Next LT Pro Light" w:cs="Arial"/>
          <w:sz w:val="24"/>
          <w:szCs w:val="24"/>
        </w:rPr>
        <w:t>Las personas prestadoras de servicio social deberán desarrollar exclusivamente las actividades autorizadas por las instituciones educativas en el registro del servicio social realizado por el IECM. En los casos donde no exista un documento especifico, se deberán seguir los criterios análogos. Bajo ninguna circunstancia se les deberá asignar tareas distintas a las referidas en dichos documentos.</w:t>
      </w:r>
    </w:p>
    <w:p w14:paraId="1BC5B5F1" w14:textId="77777777" w:rsidR="00CB2587" w:rsidRPr="00F84BDE" w:rsidRDefault="00CB2587" w:rsidP="00CB2587">
      <w:pPr>
        <w:pStyle w:val="Prrafodelista"/>
        <w:widowControl/>
        <w:numPr>
          <w:ilvl w:val="0"/>
          <w:numId w:val="1"/>
        </w:numPr>
        <w:autoSpaceDE/>
        <w:autoSpaceDN/>
        <w:spacing w:after="120"/>
        <w:jc w:val="both"/>
        <w:rPr>
          <w:rFonts w:ascii="Avenir Next LT Pro Light" w:hAnsi="Avenir Next LT Pro Light" w:cs="Arial"/>
          <w:sz w:val="24"/>
          <w:szCs w:val="24"/>
        </w:rPr>
      </w:pPr>
      <w:r w:rsidRPr="00F84BDE">
        <w:rPr>
          <w:rFonts w:ascii="Avenir Next LT Pro Light" w:hAnsi="Avenir Next LT Pro Light" w:cs="Arial"/>
          <w:sz w:val="24"/>
          <w:szCs w:val="24"/>
        </w:rPr>
        <w:t xml:space="preserve">Es responsabilidad del funcionariado del IECM, asignar tareas y actividades a las personas prestadoras considerando sus perfiles académicos, tiempos, dificultad en las actividades, y siempre considerando que las y los estudiantes significan un apoyo y acompañamiento, más no funcionarios con responsabilidades. </w:t>
      </w:r>
    </w:p>
    <w:p w14:paraId="0AE1ACC8" w14:textId="77777777" w:rsidR="00CB2587" w:rsidRPr="00F84BDE" w:rsidRDefault="00CB2587" w:rsidP="00CB2587">
      <w:pPr>
        <w:pStyle w:val="Prrafodelista"/>
        <w:widowControl/>
        <w:numPr>
          <w:ilvl w:val="0"/>
          <w:numId w:val="1"/>
        </w:numPr>
        <w:autoSpaceDE/>
        <w:autoSpaceDN/>
        <w:spacing w:after="120"/>
        <w:jc w:val="both"/>
        <w:rPr>
          <w:rFonts w:ascii="Avenir Next LT Pro Light" w:hAnsi="Avenir Next LT Pro Light" w:cs="Arial"/>
          <w:sz w:val="24"/>
          <w:szCs w:val="24"/>
        </w:rPr>
      </w:pPr>
      <w:r w:rsidRPr="00F84BDE">
        <w:rPr>
          <w:rFonts w:ascii="Avenir Next LT Pro Light" w:hAnsi="Avenir Next LT Pro Light" w:cs="Arial"/>
          <w:sz w:val="24"/>
          <w:szCs w:val="24"/>
        </w:rPr>
        <w:t xml:space="preserve">Recordar continuamente a las personas prestadoras de servicio social que, en caso de impartir talleres, éstas forman parte de la imagen institucional. </w:t>
      </w:r>
    </w:p>
    <w:p w14:paraId="0EAE1A0C" w14:textId="77777777" w:rsidR="00CB2587" w:rsidRPr="00F84BDE" w:rsidRDefault="00CB2587" w:rsidP="00CB2587">
      <w:pPr>
        <w:pStyle w:val="Prrafodelista"/>
        <w:widowControl/>
        <w:numPr>
          <w:ilvl w:val="0"/>
          <w:numId w:val="1"/>
        </w:numPr>
        <w:autoSpaceDE/>
        <w:autoSpaceDN/>
        <w:spacing w:after="120"/>
        <w:jc w:val="both"/>
        <w:rPr>
          <w:rFonts w:ascii="Avenir Next LT Pro Light" w:hAnsi="Avenir Next LT Pro Light" w:cs="Arial"/>
          <w:sz w:val="24"/>
          <w:szCs w:val="24"/>
        </w:rPr>
      </w:pPr>
      <w:r w:rsidRPr="00F84BDE">
        <w:rPr>
          <w:rFonts w:ascii="Avenir Next LT Pro Light" w:hAnsi="Avenir Next LT Pro Light" w:cs="Arial"/>
          <w:sz w:val="24"/>
          <w:szCs w:val="24"/>
        </w:rPr>
        <w:t xml:space="preserve">Las personas prestadoras de servicio social no podrán realizar gestiones en nombre del IECM en ninguna circunstancia, éstas son responsabilidad exclusiva del funcionariado del IECM. </w:t>
      </w:r>
    </w:p>
    <w:p w14:paraId="482A0A56" w14:textId="77777777" w:rsidR="00CB2587" w:rsidRPr="00F84BDE" w:rsidRDefault="00CB2587" w:rsidP="00CB2587">
      <w:pPr>
        <w:pStyle w:val="Prrafodelista"/>
        <w:widowControl/>
        <w:numPr>
          <w:ilvl w:val="0"/>
          <w:numId w:val="1"/>
        </w:numPr>
        <w:autoSpaceDE/>
        <w:autoSpaceDN/>
        <w:spacing w:after="120"/>
        <w:jc w:val="both"/>
        <w:rPr>
          <w:rFonts w:ascii="Avenir Next LT Pro Light" w:hAnsi="Avenir Next LT Pro Light" w:cs="Arial"/>
          <w:sz w:val="24"/>
          <w:szCs w:val="24"/>
        </w:rPr>
      </w:pPr>
      <w:r w:rsidRPr="00F84BDE">
        <w:rPr>
          <w:rFonts w:ascii="Avenir Next LT Pro Light" w:hAnsi="Avenir Next LT Pro Light" w:cs="Arial"/>
          <w:sz w:val="24"/>
          <w:szCs w:val="24"/>
        </w:rPr>
        <w:t>Durante el desarrollo de los proyectos, las personas prestadoras de servicio social deberán ser reconocidas como parte del equipo del órgano desconcentrado del IECM.</w:t>
      </w:r>
    </w:p>
    <w:p w14:paraId="0FDB6621" w14:textId="77777777" w:rsidR="00CB2587" w:rsidRPr="00F84BDE" w:rsidRDefault="00CB2587" w:rsidP="00CB2587">
      <w:pPr>
        <w:pStyle w:val="Prrafodelista"/>
        <w:widowControl/>
        <w:numPr>
          <w:ilvl w:val="0"/>
          <w:numId w:val="1"/>
        </w:numPr>
        <w:autoSpaceDE/>
        <w:autoSpaceDN/>
        <w:spacing w:after="120"/>
        <w:jc w:val="both"/>
        <w:rPr>
          <w:rFonts w:ascii="Avenir Next LT Pro Light" w:hAnsi="Avenir Next LT Pro Light" w:cs="Arial"/>
          <w:sz w:val="24"/>
          <w:szCs w:val="24"/>
        </w:rPr>
      </w:pPr>
      <w:r w:rsidRPr="00F84BDE">
        <w:rPr>
          <w:rFonts w:ascii="Avenir Next LT Pro Light" w:hAnsi="Avenir Next LT Pro Light" w:cs="Arial"/>
          <w:sz w:val="24"/>
          <w:szCs w:val="24"/>
        </w:rPr>
        <w:t xml:space="preserve">El éxito y la continuidad de los programas de servicio social en materia de educación cívica y construcción de ciudadanía, dependerá de la satisfacción y aprendizaje que la totalidad de personas participantes - estudiantes y funcionarias - logren de los mismos. </w:t>
      </w:r>
    </w:p>
    <w:p w14:paraId="6EE9AE24" w14:textId="77777777" w:rsidR="00CB2587" w:rsidRPr="00F84BDE" w:rsidRDefault="00CB2587" w:rsidP="00CB2587">
      <w:pPr>
        <w:pStyle w:val="Prrafodelista"/>
        <w:widowControl/>
        <w:numPr>
          <w:ilvl w:val="0"/>
          <w:numId w:val="1"/>
        </w:numPr>
        <w:autoSpaceDE/>
        <w:autoSpaceDN/>
        <w:spacing w:after="120"/>
        <w:jc w:val="both"/>
        <w:rPr>
          <w:rFonts w:ascii="Avenir Next LT Pro Light" w:hAnsi="Avenir Next LT Pro Light" w:cs="Arial"/>
          <w:sz w:val="24"/>
          <w:szCs w:val="24"/>
        </w:rPr>
      </w:pPr>
      <w:r w:rsidRPr="00F84BDE">
        <w:rPr>
          <w:rFonts w:ascii="Avenir Next LT Pro Light" w:hAnsi="Avenir Next LT Pro Light" w:cs="Arial"/>
          <w:sz w:val="24"/>
          <w:szCs w:val="24"/>
        </w:rPr>
        <w:t xml:space="preserve">El funcionariado deberá privilegiar, en la relación que establezcan con las personas prestadoras de servicio social, prácticas basadas en el respeto, dialogo, la construcción de acuerdos, una comprensión de las necesidades </w:t>
      </w:r>
      <w:r w:rsidRPr="00F84BDE">
        <w:rPr>
          <w:rFonts w:ascii="Avenir Next LT Pro Light" w:hAnsi="Avenir Next LT Pro Light" w:cs="Arial"/>
          <w:sz w:val="24"/>
          <w:szCs w:val="24"/>
        </w:rPr>
        <w:lastRenderedPageBreak/>
        <w:t>derivadas de su condición de estudiantes y la transmisión adecuada de sus prioridades.</w:t>
      </w:r>
    </w:p>
    <w:p w14:paraId="15CA9716" w14:textId="77777777" w:rsidR="00CB2587" w:rsidRPr="00F84BDE" w:rsidRDefault="00CB2587" w:rsidP="00CB2587">
      <w:pPr>
        <w:pStyle w:val="Prrafodelista"/>
        <w:widowControl/>
        <w:numPr>
          <w:ilvl w:val="0"/>
          <w:numId w:val="1"/>
        </w:numPr>
        <w:autoSpaceDE/>
        <w:autoSpaceDN/>
        <w:spacing w:after="120"/>
        <w:jc w:val="both"/>
        <w:rPr>
          <w:rFonts w:ascii="Avenir Next LT Pro Light" w:hAnsi="Avenir Next LT Pro Light" w:cs="Arial"/>
          <w:sz w:val="24"/>
          <w:szCs w:val="24"/>
        </w:rPr>
      </w:pPr>
      <w:r w:rsidRPr="00F84BDE">
        <w:rPr>
          <w:rFonts w:ascii="Avenir Next LT Pro Light" w:hAnsi="Avenir Next LT Pro Light" w:cs="Arial"/>
          <w:sz w:val="24"/>
          <w:szCs w:val="24"/>
        </w:rPr>
        <w:t xml:space="preserve">. El funcionariado deberá motivar a las personas prestadoras de servicio social a corresponder con una amplia disposición a colaborar con los objetivos institucionales y comprometerse con el cumplimiento de las tareas encomendadas. </w:t>
      </w:r>
    </w:p>
    <w:p w14:paraId="1812F226" w14:textId="77777777" w:rsidR="00CB2587" w:rsidRPr="00F84BDE" w:rsidRDefault="00CB2587" w:rsidP="00CB2587">
      <w:pPr>
        <w:pStyle w:val="Prrafodelista"/>
        <w:widowControl/>
        <w:numPr>
          <w:ilvl w:val="0"/>
          <w:numId w:val="1"/>
        </w:numPr>
        <w:autoSpaceDE/>
        <w:autoSpaceDN/>
        <w:spacing w:after="120"/>
        <w:jc w:val="both"/>
        <w:rPr>
          <w:rFonts w:ascii="Avenir Next LT Pro Light" w:hAnsi="Avenir Next LT Pro Light" w:cs="Arial"/>
          <w:sz w:val="24"/>
          <w:szCs w:val="24"/>
        </w:rPr>
      </w:pPr>
      <w:r w:rsidRPr="00F84BDE">
        <w:rPr>
          <w:rFonts w:ascii="Avenir Next LT Pro Light" w:hAnsi="Avenir Next LT Pro Light" w:cs="Arial"/>
          <w:sz w:val="24"/>
          <w:szCs w:val="24"/>
        </w:rPr>
        <w:t xml:space="preserve">El funcionariado destinará los espacios y las condiciones adecuadas a las personas prestadoras de servicio social para el desarrollo de sus actividades dentro de las oficinas del IECM. </w:t>
      </w:r>
    </w:p>
    <w:p w14:paraId="29E05666" w14:textId="77777777" w:rsidR="00CB2587" w:rsidRPr="00F84BDE" w:rsidRDefault="00CB2587" w:rsidP="00CB2587">
      <w:pPr>
        <w:pStyle w:val="Prrafodelista"/>
        <w:widowControl/>
        <w:numPr>
          <w:ilvl w:val="0"/>
          <w:numId w:val="1"/>
        </w:numPr>
        <w:autoSpaceDE/>
        <w:autoSpaceDN/>
        <w:spacing w:after="120"/>
        <w:jc w:val="both"/>
        <w:rPr>
          <w:rFonts w:ascii="Avenir Next LT Pro Light" w:hAnsi="Avenir Next LT Pro Light" w:cs="Arial"/>
          <w:sz w:val="24"/>
          <w:szCs w:val="24"/>
        </w:rPr>
      </w:pPr>
      <w:r w:rsidRPr="00F84BDE">
        <w:rPr>
          <w:rFonts w:ascii="Avenir Next LT Pro Light" w:hAnsi="Avenir Next LT Pro Light" w:cs="Arial"/>
          <w:sz w:val="24"/>
          <w:szCs w:val="24"/>
        </w:rPr>
        <w:t xml:space="preserve">El funcionariado y las personas prestadoras de servicio social deberán observar lo estipulado en el Protocolo para atención de casos de Violencia Laboral, Hostigamiento y/o Acoso Sexual en el Instituto Electoral de la Ciudad de México. </w:t>
      </w:r>
    </w:p>
    <w:p w14:paraId="1E5F628B" w14:textId="2D14B805" w:rsidR="00CB2587" w:rsidRPr="00F84BDE" w:rsidRDefault="00CB2587" w:rsidP="00CB2587">
      <w:pPr>
        <w:pStyle w:val="Prrafodelista"/>
        <w:widowControl/>
        <w:numPr>
          <w:ilvl w:val="0"/>
          <w:numId w:val="1"/>
        </w:numPr>
        <w:autoSpaceDE/>
        <w:autoSpaceDN/>
        <w:spacing w:after="120"/>
        <w:jc w:val="both"/>
        <w:rPr>
          <w:rFonts w:ascii="Avenir Next LT Pro Light" w:hAnsi="Avenir Next LT Pro Light" w:cs="Arial"/>
          <w:sz w:val="24"/>
          <w:szCs w:val="24"/>
        </w:rPr>
      </w:pPr>
      <w:r w:rsidRPr="00F84BDE">
        <w:rPr>
          <w:rFonts w:ascii="Avenir Next LT Pro Light" w:hAnsi="Avenir Next LT Pro Light" w:cs="Arial"/>
          <w:sz w:val="24"/>
          <w:szCs w:val="24"/>
        </w:rPr>
        <w:t>El funcionariado, así como las personas prestadoras de servicio social, propiciarán ejercicios permanentes de retroalimentación acerca del desarrollo de los proyectos y del cumplimiento de las expectativas de cada una de las partes.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236"/>
        <w:gridCol w:w="4509"/>
      </w:tblGrid>
      <w:tr w:rsidR="00CB2587" w:rsidRPr="00973AEE" w14:paraId="5728CB45" w14:textId="77777777" w:rsidTr="00905470">
        <w:tc>
          <w:tcPr>
            <w:tcW w:w="9460" w:type="dxa"/>
            <w:gridSpan w:val="3"/>
          </w:tcPr>
          <w:p w14:paraId="4C544005" w14:textId="2784CF62" w:rsidR="00CB2587" w:rsidRPr="00973AEE" w:rsidRDefault="00CB2587" w:rsidP="00905470">
            <w:pPr>
              <w:spacing w:after="120"/>
              <w:jc w:val="center"/>
              <w:rPr>
                <w:rFonts w:ascii="Avenir Next LT Pro Light" w:hAnsi="Avenir Next LT Pro Light" w:cs="Arial"/>
                <w:b/>
                <w:bCs/>
                <w:sz w:val="24"/>
                <w:szCs w:val="24"/>
                <w:lang w:val="pt-PT"/>
              </w:rPr>
            </w:pPr>
            <w:r w:rsidRPr="00973AEE">
              <w:rPr>
                <w:rFonts w:ascii="Avenir Next LT Pro Light" w:hAnsi="Avenir Next LT Pro Light" w:cs="Arial"/>
                <w:b/>
                <w:bCs/>
                <w:sz w:val="24"/>
                <w:szCs w:val="24"/>
                <w:lang w:val="pt-PT"/>
              </w:rPr>
              <w:t>Titular del Órgano Desconcentrado N°______</w:t>
            </w:r>
          </w:p>
        </w:tc>
      </w:tr>
      <w:tr w:rsidR="00CB2587" w:rsidRPr="00973AEE" w14:paraId="65210EC5" w14:textId="77777777" w:rsidTr="00905470">
        <w:tc>
          <w:tcPr>
            <w:tcW w:w="9460" w:type="dxa"/>
            <w:gridSpan w:val="3"/>
            <w:tcBorders>
              <w:bottom w:val="single" w:sz="4" w:space="0" w:color="auto"/>
            </w:tcBorders>
          </w:tcPr>
          <w:p w14:paraId="530AEC88" w14:textId="77777777" w:rsidR="00CB2587" w:rsidRPr="00973AEE" w:rsidRDefault="00CB2587" w:rsidP="00905470">
            <w:pPr>
              <w:spacing w:after="120"/>
              <w:jc w:val="both"/>
              <w:rPr>
                <w:rFonts w:ascii="Avenir Next LT Pro Light" w:hAnsi="Avenir Next LT Pro Light" w:cs="Arial"/>
                <w:sz w:val="24"/>
                <w:szCs w:val="24"/>
                <w:lang w:val="pt-PT"/>
              </w:rPr>
            </w:pPr>
          </w:p>
        </w:tc>
      </w:tr>
      <w:tr w:rsidR="00CB2587" w:rsidRPr="00F84BDE" w14:paraId="089F1203" w14:textId="77777777" w:rsidTr="00905470">
        <w:tc>
          <w:tcPr>
            <w:tcW w:w="9460" w:type="dxa"/>
            <w:gridSpan w:val="3"/>
            <w:tcBorders>
              <w:top w:val="single" w:sz="4" w:space="0" w:color="auto"/>
            </w:tcBorders>
          </w:tcPr>
          <w:p w14:paraId="404094F3" w14:textId="77777777" w:rsidR="00CB2587" w:rsidRPr="00F84BDE" w:rsidRDefault="00CB2587" w:rsidP="00905470">
            <w:pPr>
              <w:spacing w:after="120"/>
              <w:jc w:val="center"/>
              <w:rPr>
                <w:rFonts w:ascii="Avenir Next LT Pro Light" w:hAnsi="Avenir Next LT Pro Light" w:cs="Arial"/>
                <w:sz w:val="18"/>
                <w:szCs w:val="18"/>
              </w:rPr>
            </w:pPr>
            <w:r w:rsidRPr="00F84BDE">
              <w:rPr>
                <w:rFonts w:ascii="Avenir Next LT Pro Light" w:hAnsi="Avenir Next LT Pro Light" w:cs="Arial"/>
                <w:sz w:val="18"/>
                <w:szCs w:val="18"/>
              </w:rPr>
              <w:t>Nombre y Firma</w:t>
            </w:r>
          </w:p>
        </w:tc>
      </w:tr>
      <w:tr w:rsidR="00CB2587" w:rsidRPr="00F84BDE" w14:paraId="19AB006E" w14:textId="77777777" w:rsidTr="00A26E5C">
        <w:trPr>
          <w:trHeight w:val="851"/>
        </w:trPr>
        <w:tc>
          <w:tcPr>
            <w:tcW w:w="4644" w:type="dxa"/>
            <w:vAlign w:val="bottom"/>
          </w:tcPr>
          <w:p w14:paraId="0460AC00" w14:textId="77777777" w:rsidR="00CB2587" w:rsidRPr="00F84BDE" w:rsidRDefault="00CB2587" w:rsidP="00A26E5C">
            <w:pPr>
              <w:spacing w:after="120"/>
              <w:jc w:val="center"/>
              <w:rPr>
                <w:rFonts w:ascii="Avenir Next LT Pro Light" w:hAnsi="Avenir Next LT Pro Light" w:cs="Arial"/>
                <w:b/>
                <w:bCs/>
                <w:sz w:val="24"/>
                <w:szCs w:val="24"/>
              </w:rPr>
            </w:pPr>
            <w:r w:rsidRPr="00F84BDE">
              <w:rPr>
                <w:rFonts w:ascii="Avenir Next LT Pro Light" w:hAnsi="Avenir Next LT Pro Light" w:cs="Arial"/>
                <w:b/>
                <w:bCs/>
                <w:sz w:val="24"/>
                <w:szCs w:val="24"/>
              </w:rPr>
              <w:t>Subcoordinadora (Subcoordinador) de Educación Cívica, Organización Electoral y Participación Ciudadana.</w:t>
            </w:r>
          </w:p>
        </w:tc>
        <w:tc>
          <w:tcPr>
            <w:tcW w:w="236" w:type="dxa"/>
            <w:vAlign w:val="bottom"/>
          </w:tcPr>
          <w:p w14:paraId="0BB32EF4" w14:textId="77777777" w:rsidR="00CB2587" w:rsidRPr="00F84BDE" w:rsidRDefault="00CB2587" w:rsidP="00A26E5C">
            <w:pPr>
              <w:spacing w:after="120"/>
              <w:jc w:val="center"/>
              <w:rPr>
                <w:rFonts w:ascii="Avenir Next LT Pro Light" w:hAnsi="Avenir Next LT Pro Light" w:cs="Arial"/>
                <w:b/>
                <w:bCs/>
                <w:sz w:val="24"/>
                <w:szCs w:val="24"/>
              </w:rPr>
            </w:pPr>
          </w:p>
        </w:tc>
        <w:tc>
          <w:tcPr>
            <w:tcW w:w="4580" w:type="dxa"/>
            <w:vAlign w:val="bottom"/>
          </w:tcPr>
          <w:p w14:paraId="741D0DE5" w14:textId="77777777" w:rsidR="00CB2587" w:rsidRPr="00F84BDE" w:rsidRDefault="00CB2587" w:rsidP="00A26E5C">
            <w:pPr>
              <w:spacing w:after="120"/>
              <w:jc w:val="center"/>
              <w:rPr>
                <w:rFonts w:ascii="Avenir Next LT Pro Light" w:hAnsi="Avenir Next LT Pro Light" w:cs="Arial"/>
                <w:b/>
                <w:bCs/>
                <w:sz w:val="24"/>
                <w:szCs w:val="24"/>
              </w:rPr>
            </w:pPr>
            <w:r w:rsidRPr="00F84BDE">
              <w:rPr>
                <w:rFonts w:ascii="Avenir Next LT Pro Light" w:hAnsi="Avenir Next LT Pro Light" w:cs="Arial"/>
                <w:b/>
                <w:bCs/>
                <w:sz w:val="24"/>
                <w:szCs w:val="24"/>
              </w:rPr>
              <w:t>Secretaria (Secretario) del Órgano Desconcentrado</w:t>
            </w:r>
          </w:p>
        </w:tc>
      </w:tr>
      <w:tr w:rsidR="00CB2587" w:rsidRPr="00F84BDE" w14:paraId="724F2A7B" w14:textId="77777777" w:rsidTr="00905470">
        <w:tc>
          <w:tcPr>
            <w:tcW w:w="4644" w:type="dxa"/>
            <w:tcBorders>
              <w:bottom w:val="single" w:sz="4" w:space="0" w:color="auto"/>
            </w:tcBorders>
          </w:tcPr>
          <w:p w14:paraId="503C47B6" w14:textId="77777777" w:rsidR="00CB2587" w:rsidRPr="00F84BDE" w:rsidRDefault="00CB2587" w:rsidP="00905470">
            <w:pPr>
              <w:spacing w:after="120"/>
              <w:jc w:val="center"/>
              <w:rPr>
                <w:rFonts w:ascii="Avenir Next LT Pro Light" w:hAnsi="Avenir Next LT Pro Light" w:cs="Arial"/>
                <w:sz w:val="24"/>
                <w:szCs w:val="24"/>
              </w:rPr>
            </w:pPr>
          </w:p>
        </w:tc>
        <w:tc>
          <w:tcPr>
            <w:tcW w:w="236" w:type="dxa"/>
          </w:tcPr>
          <w:p w14:paraId="33980375" w14:textId="77777777" w:rsidR="00CB2587" w:rsidRPr="00F84BDE" w:rsidRDefault="00CB2587" w:rsidP="00905470">
            <w:pPr>
              <w:spacing w:after="120"/>
              <w:jc w:val="center"/>
              <w:rPr>
                <w:rFonts w:ascii="Avenir Next LT Pro Light" w:hAnsi="Avenir Next LT Pro Light" w:cs="Arial"/>
                <w:sz w:val="24"/>
                <w:szCs w:val="24"/>
              </w:rPr>
            </w:pPr>
          </w:p>
        </w:tc>
        <w:tc>
          <w:tcPr>
            <w:tcW w:w="4580" w:type="dxa"/>
            <w:tcBorders>
              <w:bottom w:val="single" w:sz="4" w:space="0" w:color="auto"/>
            </w:tcBorders>
          </w:tcPr>
          <w:p w14:paraId="69C98062" w14:textId="77777777" w:rsidR="00CB2587" w:rsidRPr="00F84BDE" w:rsidRDefault="00CB2587" w:rsidP="00905470">
            <w:pPr>
              <w:spacing w:after="120"/>
              <w:jc w:val="center"/>
              <w:rPr>
                <w:rFonts w:ascii="Avenir Next LT Pro Light" w:hAnsi="Avenir Next LT Pro Light" w:cs="Arial"/>
                <w:sz w:val="24"/>
                <w:szCs w:val="24"/>
              </w:rPr>
            </w:pPr>
          </w:p>
        </w:tc>
      </w:tr>
      <w:tr w:rsidR="00CB2587" w:rsidRPr="00F84BDE" w14:paraId="17A0E692" w14:textId="77777777" w:rsidTr="00905470">
        <w:tc>
          <w:tcPr>
            <w:tcW w:w="4644" w:type="dxa"/>
            <w:tcBorders>
              <w:top w:val="single" w:sz="4" w:space="0" w:color="auto"/>
            </w:tcBorders>
          </w:tcPr>
          <w:p w14:paraId="621DACB0" w14:textId="77777777" w:rsidR="00CB2587" w:rsidRPr="00F84BDE" w:rsidRDefault="00CB2587" w:rsidP="00905470">
            <w:pPr>
              <w:spacing w:after="120"/>
              <w:jc w:val="center"/>
              <w:rPr>
                <w:rFonts w:ascii="Avenir Next LT Pro Light" w:hAnsi="Avenir Next LT Pro Light" w:cs="Arial"/>
                <w:sz w:val="18"/>
                <w:szCs w:val="18"/>
              </w:rPr>
            </w:pPr>
            <w:r w:rsidRPr="00F84BDE">
              <w:rPr>
                <w:rFonts w:ascii="Avenir Next LT Pro Light" w:hAnsi="Avenir Next LT Pro Light" w:cs="Arial"/>
                <w:sz w:val="18"/>
                <w:szCs w:val="18"/>
              </w:rPr>
              <w:t>Nombre y firma</w:t>
            </w:r>
          </w:p>
        </w:tc>
        <w:tc>
          <w:tcPr>
            <w:tcW w:w="236" w:type="dxa"/>
          </w:tcPr>
          <w:p w14:paraId="2776CD75" w14:textId="77777777" w:rsidR="00CB2587" w:rsidRPr="00F84BDE" w:rsidRDefault="00CB2587" w:rsidP="00905470">
            <w:pPr>
              <w:spacing w:after="120"/>
              <w:jc w:val="center"/>
              <w:rPr>
                <w:rFonts w:ascii="Avenir Next LT Pro Light" w:hAnsi="Avenir Next LT Pro Light" w:cs="Arial"/>
                <w:sz w:val="18"/>
                <w:szCs w:val="18"/>
              </w:rPr>
            </w:pPr>
          </w:p>
        </w:tc>
        <w:tc>
          <w:tcPr>
            <w:tcW w:w="4580" w:type="dxa"/>
            <w:tcBorders>
              <w:top w:val="single" w:sz="4" w:space="0" w:color="auto"/>
            </w:tcBorders>
          </w:tcPr>
          <w:p w14:paraId="13B4BC1A" w14:textId="77777777" w:rsidR="00CB2587" w:rsidRPr="00F84BDE" w:rsidRDefault="00CB2587" w:rsidP="00905470">
            <w:pPr>
              <w:spacing w:after="120"/>
              <w:jc w:val="center"/>
              <w:rPr>
                <w:rFonts w:ascii="Avenir Next LT Pro Light" w:hAnsi="Avenir Next LT Pro Light" w:cs="Arial"/>
                <w:sz w:val="18"/>
                <w:szCs w:val="18"/>
              </w:rPr>
            </w:pPr>
            <w:r w:rsidRPr="00F84BDE">
              <w:rPr>
                <w:rFonts w:ascii="Avenir Next LT Pro Light" w:hAnsi="Avenir Next LT Pro Light" w:cs="Arial"/>
                <w:sz w:val="18"/>
                <w:szCs w:val="18"/>
              </w:rPr>
              <w:t>Nombre y firma</w:t>
            </w:r>
          </w:p>
        </w:tc>
      </w:tr>
      <w:tr w:rsidR="00CB2587" w:rsidRPr="00F84BDE" w14:paraId="229EF36F" w14:textId="77777777" w:rsidTr="00A26E5C">
        <w:trPr>
          <w:trHeight w:val="851"/>
        </w:trPr>
        <w:tc>
          <w:tcPr>
            <w:tcW w:w="4644" w:type="dxa"/>
            <w:vAlign w:val="bottom"/>
          </w:tcPr>
          <w:p w14:paraId="0E4B9FC5" w14:textId="77777777" w:rsidR="00CB2587" w:rsidRPr="00F84BDE" w:rsidRDefault="00CB2587" w:rsidP="00905470">
            <w:pPr>
              <w:spacing w:after="120"/>
              <w:jc w:val="center"/>
              <w:rPr>
                <w:rFonts w:ascii="Avenir Next LT Pro Light" w:hAnsi="Avenir Next LT Pro Light" w:cs="Arial"/>
                <w:b/>
                <w:bCs/>
                <w:sz w:val="24"/>
                <w:szCs w:val="24"/>
              </w:rPr>
            </w:pPr>
            <w:r w:rsidRPr="00F84BDE">
              <w:rPr>
                <w:rFonts w:ascii="Avenir Next LT Pro Light" w:hAnsi="Avenir Next LT Pro Light" w:cs="Arial"/>
                <w:b/>
                <w:bCs/>
                <w:sz w:val="24"/>
                <w:szCs w:val="24"/>
              </w:rPr>
              <w:t>Técnica (Técnico) del Órgano Desconcentrado</w:t>
            </w:r>
          </w:p>
        </w:tc>
        <w:tc>
          <w:tcPr>
            <w:tcW w:w="236" w:type="dxa"/>
            <w:vAlign w:val="bottom"/>
          </w:tcPr>
          <w:p w14:paraId="063CF8AD" w14:textId="77777777" w:rsidR="00CB2587" w:rsidRPr="00F84BDE" w:rsidRDefault="00CB2587" w:rsidP="00905470">
            <w:pPr>
              <w:spacing w:after="120"/>
              <w:jc w:val="center"/>
              <w:rPr>
                <w:rFonts w:ascii="Avenir Next LT Pro Light" w:hAnsi="Avenir Next LT Pro Light" w:cs="Arial"/>
                <w:b/>
                <w:bCs/>
                <w:sz w:val="24"/>
                <w:szCs w:val="24"/>
              </w:rPr>
            </w:pPr>
          </w:p>
        </w:tc>
        <w:tc>
          <w:tcPr>
            <w:tcW w:w="4580" w:type="dxa"/>
            <w:vAlign w:val="bottom"/>
          </w:tcPr>
          <w:p w14:paraId="6C1CA97C" w14:textId="77777777" w:rsidR="00CB2587" w:rsidRPr="00F84BDE" w:rsidRDefault="00CB2587" w:rsidP="00905470">
            <w:pPr>
              <w:spacing w:after="120"/>
              <w:jc w:val="center"/>
              <w:rPr>
                <w:rFonts w:ascii="Avenir Next LT Pro Light" w:hAnsi="Avenir Next LT Pro Light" w:cs="Arial"/>
                <w:b/>
                <w:bCs/>
                <w:sz w:val="24"/>
                <w:szCs w:val="24"/>
              </w:rPr>
            </w:pPr>
            <w:r w:rsidRPr="00F84BDE">
              <w:rPr>
                <w:rFonts w:ascii="Avenir Next LT Pro Light" w:hAnsi="Avenir Next LT Pro Light" w:cs="Arial"/>
                <w:b/>
                <w:bCs/>
                <w:sz w:val="24"/>
                <w:szCs w:val="24"/>
              </w:rPr>
              <w:t>Técnica (Técnico) del Órgano Desconcentrado</w:t>
            </w:r>
          </w:p>
        </w:tc>
      </w:tr>
      <w:tr w:rsidR="00CB2587" w:rsidRPr="00F84BDE" w14:paraId="67A1CE5E" w14:textId="77777777" w:rsidTr="00905470">
        <w:tc>
          <w:tcPr>
            <w:tcW w:w="4644" w:type="dxa"/>
            <w:tcBorders>
              <w:bottom w:val="single" w:sz="4" w:space="0" w:color="auto"/>
            </w:tcBorders>
          </w:tcPr>
          <w:p w14:paraId="46EDA6B1" w14:textId="77777777" w:rsidR="00CB2587" w:rsidRPr="00F84BDE" w:rsidRDefault="00CB2587" w:rsidP="00905470">
            <w:pPr>
              <w:spacing w:after="120"/>
              <w:jc w:val="center"/>
              <w:rPr>
                <w:rFonts w:ascii="Avenir Next LT Pro Light" w:hAnsi="Avenir Next LT Pro Light" w:cs="Arial"/>
                <w:sz w:val="24"/>
                <w:szCs w:val="24"/>
              </w:rPr>
            </w:pPr>
          </w:p>
        </w:tc>
        <w:tc>
          <w:tcPr>
            <w:tcW w:w="236" w:type="dxa"/>
          </w:tcPr>
          <w:p w14:paraId="2620A513" w14:textId="77777777" w:rsidR="00CB2587" w:rsidRPr="00F84BDE" w:rsidRDefault="00CB2587" w:rsidP="00905470">
            <w:pPr>
              <w:spacing w:after="120"/>
              <w:jc w:val="center"/>
              <w:rPr>
                <w:rFonts w:ascii="Avenir Next LT Pro Light" w:hAnsi="Avenir Next LT Pro Light" w:cs="Arial"/>
                <w:sz w:val="24"/>
                <w:szCs w:val="24"/>
              </w:rPr>
            </w:pPr>
          </w:p>
        </w:tc>
        <w:tc>
          <w:tcPr>
            <w:tcW w:w="4580" w:type="dxa"/>
            <w:tcBorders>
              <w:bottom w:val="single" w:sz="4" w:space="0" w:color="auto"/>
            </w:tcBorders>
          </w:tcPr>
          <w:p w14:paraId="4D699C66" w14:textId="77777777" w:rsidR="00CB2587" w:rsidRPr="00F84BDE" w:rsidRDefault="00CB2587" w:rsidP="00905470">
            <w:pPr>
              <w:spacing w:after="120"/>
              <w:jc w:val="center"/>
              <w:rPr>
                <w:rFonts w:ascii="Avenir Next LT Pro Light" w:hAnsi="Avenir Next LT Pro Light" w:cs="Arial"/>
                <w:sz w:val="24"/>
                <w:szCs w:val="24"/>
              </w:rPr>
            </w:pPr>
          </w:p>
        </w:tc>
      </w:tr>
      <w:tr w:rsidR="00CB2587" w:rsidRPr="00F84BDE" w14:paraId="6E667725" w14:textId="77777777" w:rsidTr="00905470">
        <w:tc>
          <w:tcPr>
            <w:tcW w:w="4644" w:type="dxa"/>
            <w:tcBorders>
              <w:top w:val="single" w:sz="4" w:space="0" w:color="auto"/>
            </w:tcBorders>
          </w:tcPr>
          <w:p w14:paraId="4576D9C5" w14:textId="77777777" w:rsidR="00CB2587" w:rsidRPr="00F84BDE" w:rsidRDefault="00CB2587" w:rsidP="00905470">
            <w:pPr>
              <w:spacing w:after="120"/>
              <w:jc w:val="center"/>
              <w:rPr>
                <w:rFonts w:ascii="Avenir Next LT Pro Light" w:hAnsi="Avenir Next LT Pro Light" w:cs="Arial"/>
                <w:sz w:val="18"/>
                <w:szCs w:val="18"/>
              </w:rPr>
            </w:pPr>
            <w:r w:rsidRPr="00F84BDE">
              <w:rPr>
                <w:rFonts w:ascii="Avenir Next LT Pro Light" w:hAnsi="Avenir Next LT Pro Light" w:cs="Arial"/>
                <w:sz w:val="18"/>
                <w:szCs w:val="18"/>
              </w:rPr>
              <w:t>Nombre y firma</w:t>
            </w:r>
          </w:p>
        </w:tc>
        <w:tc>
          <w:tcPr>
            <w:tcW w:w="236" w:type="dxa"/>
          </w:tcPr>
          <w:p w14:paraId="7B8D2A70" w14:textId="77777777" w:rsidR="00CB2587" w:rsidRPr="00F84BDE" w:rsidRDefault="00CB2587" w:rsidP="00905470">
            <w:pPr>
              <w:spacing w:after="120"/>
              <w:jc w:val="center"/>
              <w:rPr>
                <w:rFonts w:ascii="Avenir Next LT Pro Light" w:hAnsi="Avenir Next LT Pro Light" w:cs="Arial"/>
                <w:sz w:val="18"/>
                <w:szCs w:val="18"/>
              </w:rPr>
            </w:pPr>
          </w:p>
        </w:tc>
        <w:tc>
          <w:tcPr>
            <w:tcW w:w="4580" w:type="dxa"/>
            <w:tcBorders>
              <w:top w:val="single" w:sz="4" w:space="0" w:color="auto"/>
            </w:tcBorders>
          </w:tcPr>
          <w:p w14:paraId="71A1FCA7" w14:textId="77777777" w:rsidR="00CB2587" w:rsidRPr="00F84BDE" w:rsidRDefault="00CB2587" w:rsidP="00905470">
            <w:pPr>
              <w:spacing w:after="120"/>
              <w:jc w:val="center"/>
              <w:rPr>
                <w:rFonts w:ascii="Avenir Next LT Pro Light" w:hAnsi="Avenir Next LT Pro Light" w:cs="Arial"/>
                <w:sz w:val="18"/>
                <w:szCs w:val="18"/>
              </w:rPr>
            </w:pPr>
            <w:r w:rsidRPr="00F84BDE">
              <w:rPr>
                <w:rFonts w:ascii="Avenir Next LT Pro Light" w:hAnsi="Avenir Next LT Pro Light" w:cs="Arial"/>
                <w:sz w:val="18"/>
                <w:szCs w:val="18"/>
              </w:rPr>
              <w:t>Nombre y firma</w:t>
            </w:r>
          </w:p>
        </w:tc>
      </w:tr>
      <w:tr w:rsidR="00CB2587" w:rsidRPr="00F84BDE" w14:paraId="2D268F89" w14:textId="77777777" w:rsidTr="00A26E5C">
        <w:trPr>
          <w:trHeight w:val="567"/>
        </w:trPr>
        <w:tc>
          <w:tcPr>
            <w:tcW w:w="4644" w:type="dxa"/>
            <w:vAlign w:val="bottom"/>
          </w:tcPr>
          <w:p w14:paraId="4C6B555D" w14:textId="77777777" w:rsidR="00CB2587" w:rsidRPr="00F84BDE" w:rsidRDefault="00CB2587" w:rsidP="00905470">
            <w:pPr>
              <w:spacing w:after="120"/>
              <w:jc w:val="center"/>
              <w:rPr>
                <w:rFonts w:ascii="Avenir Next LT Pro Light" w:hAnsi="Avenir Next LT Pro Light" w:cs="Arial"/>
                <w:b/>
                <w:bCs/>
                <w:sz w:val="24"/>
                <w:szCs w:val="24"/>
              </w:rPr>
            </w:pPr>
            <w:r w:rsidRPr="00F84BDE">
              <w:rPr>
                <w:rFonts w:ascii="Avenir Next LT Pro Light" w:hAnsi="Avenir Next LT Pro Light" w:cs="Arial"/>
                <w:b/>
                <w:bCs/>
                <w:sz w:val="24"/>
                <w:szCs w:val="24"/>
              </w:rPr>
              <w:t>Persona prestadora de servicio social</w:t>
            </w:r>
          </w:p>
        </w:tc>
        <w:tc>
          <w:tcPr>
            <w:tcW w:w="236" w:type="dxa"/>
            <w:vAlign w:val="bottom"/>
          </w:tcPr>
          <w:p w14:paraId="4CB6B0C5" w14:textId="77777777" w:rsidR="00CB2587" w:rsidRPr="00F84BDE" w:rsidRDefault="00CB2587" w:rsidP="00905470">
            <w:pPr>
              <w:spacing w:after="120"/>
              <w:jc w:val="center"/>
              <w:rPr>
                <w:rFonts w:ascii="Avenir Next LT Pro Light" w:hAnsi="Avenir Next LT Pro Light" w:cs="Arial"/>
                <w:b/>
                <w:bCs/>
                <w:sz w:val="24"/>
                <w:szCs w:val="24"/>
              </w:rPr>
            </w:pPr>
          </w:p>
        </w:tc>
        <w:tc>
          <w:tcPr>
            <w:tcW w:w="4580" w:type="dxa"/>
            <w:vAlign w:val="bottom"/>
          </w:tcPr>
          <w:p w14:paraId="17A84332" w14:textId="77777777" w:rsidR="00CB2587" w:rsidRPr="00F84BDE" w:rsidRDefault="00CB2587" w:rsidP="00905470">
            <w:pPr>
              <w:spacing w:after="120"/>
              <w:jc w:val="center"/>
              <w:rPr>
                <w:rFonts w:ascii="Avenir Next LT Pro Light" w:hAnsi="Avenir Next LT Pro Light" w:cs="Arial"/>
                <w:b/>
                <w:bCs/>
                <w:sz w:val="24"/>
                <w:szCs w:val="24"/>
              </w:rPr>
            </w:pPr>
            <w:r w:rsidRPr="00F84BDE">
              <w:rPr>
                <w:rFonts w:ascii="Avenir Next LT Pro Light" w:hAnsi="Avenir Next LT Pro Light" w:cs="Arial"/>
                <w:b/>
                <w:bCs/>
                <w:sz w:val="24"/>
                <w:szCs w:val="24"/>
              </w:rPr>
              <w:t>Persona prestadora de servicio social</w:t>
            </w:r>
          </w:p>
        </w:tc>
      </w:tr>
      <w:tr w:rsidR="00CB2587" w:rsidRPr="00F84BDE" w14:paraId="26113E8A" w14:textId="77777777" w:rsidTr="00905470">
        <w:tc>
          <w:tcPr>
            <w:tcW w:w="4644" w:type="dxa"/>
            <w:tcBorders>
              <w:bottom w:val="single" w:sz="4" w:space="0" w:color="auto"/>
            </w:tcBorders>
          </w:tcPr>
          <w:p w14:paraId="3B5D415A" w14:textId="77777777" w:rsidR="00CB2587" w:rsidRPr="00F84BDE" w:rsidRDefault="00CB2587" w:rsidP="00905470">
            <w:pPr>
              <w:spacing w:after="120"/>
              <w:jc w:val="center"/>
              <w:rPr>
                <w:rFonts w:ascii="Avenir Next LT Pro Light" w:hAnsi="Avenir Next LT Pro Light" w:cs="Arial"/>
                <w:sz w:val="24"/>
                <w:szCs w:val="24"/>
              </w:rPr>
            </w:pPr>
          </w:p>
        </w:tc>
        <w:tc>
          <w:tcPr>
            <w:tcW w:w="236" w:type="dxa"/>
          </w:tcPr>
          <w:p w14:paraId="03A0F796" w14:textId="77777777" w:rsidR="00CB2587" w:rsidRPr="00F84BDE" w:rsidRDefault="00CB2587" w:rsidP="00905470">
            <w:pPr>
              <w:spacing w:after="120"/>
              <w:jc w:val="center"/>
              <w:rPr>
                <w:rFonts w:ascii="Avenir Next LT Pro Light" w:hAnsi="Avenir Next LT Pro Light" w:cs="Arial"/>
                <w:sz w:val="24"/>
                <w:szCs w:val="24"/>
              </w:rPr>
            </w:pPr>
          </w:p>
        </w:tc>
        <w:tc>
          <w:tcPr>
            <w:tcW w:w="4580" w:type="dxa"/>
            <w:tcBorders>
              <w:bottom w:val="single" w:sz="4" w:space="0" w:color="auto"/>
            </w:tcBorders>
          </w:tcPr>
          <w:p w14:paraId="5146D975" w14:textId="77777777" w:rsidR="00CB2587" w:rsidRPr="00F84BDE" w:rsidRDefault="00CB2587" w:rsidP="00905470">
            <w:pPr>
              <w:spacing w:after="120"/>
              <w:jc w:val="center"/>
              <w:rPr>
                <w:rFonts w:ascii="Avenir Next LT Pro Light" w:hAnsi="Avenir Next LT Pro Light" w:cs="Arial"/>
                <w:sz w:val="24"/>
                <w:szCs w:val="24"/>
              </w:rPr>
            </w:pPr>
          </w:p>
        </w:tc>
      </w:tr>
      <w:tr w:rsidR="00CB2587" w:rsidRPr="00F84BDE" w14:paraId="74FA88D5" w14:textId="77777777" w:rsidTr="00905470">
        <w:tc>
          <w:tcPr>
            <w:tcW w:w="4644" w:type="dxa"/>
            <w:tcBorders>
              <w:top w:val="single" w:sz="4" w:space="0" w:color="auto"/>
            </w:tcBorders>
          </w:tcPr>
          <w:p w14:paraId="7E98F039" w14:textId="77777777" w:rsidR="00CB2587" w:rsidRPr="00F84BDE" w:rsidRDefault="00CB2587" w:rsidP="00905470">
            <w:pPr>
              <w:spacing w:after="120"/>
              <w:jc w:val="center"/>
              <w:rPr>
                <w:rFonts w:ascii="Avenir Next LT Pro Light" w:hAnsi="Avenir Next LT Pro Light" w:cs="Arial"/>
                <w:sz w:val="18"/>
                <w:szCs w:val="18"/>
              </w:rPr>
            </w:pPr>
            <w:r w:rsidRPr="00F84BDE">
              <w:rPr>
                <w:rFonts w:ascii="Avenir Next LT Pro Light" w:hAnsi="Avenir Next LT Pro Light" w:cs="Arial"/>
                <w:sz w:val="18"/>
                <w:szCs w:val="18"/>
              </w:rPr>
              <w:t>Nombre y firma</w:t>
            </w:r>
          </w:p>
        </w:tc>
        <w:tc>
          <w:tcPr>
            <w:tcW w:w="236" w:type="dxa"/>
          </w:tcPr>
          <w:p w14:paraId="4C44AE79" w14:textId="77777777" w:rsidR="00CB2587" w:rsidRPr="00F84BDE" w:rsidRDefault="00CB2587" w:rsidP="00905470">
            <w:pPr>
              <w:spacing w:after="120"/>
              <w:jc w:val="center"/>
              <w:rPr>
                <w:rFonts w:ascii="Avenir Next LT Pro Light" w:hAnsi="Avenir Next LT Pro Light" w:cs="Arial"/>
                <w:sz w:val="18"/>
                <w:szCs w:val="18"/>
              </w:rPr>
            </w:pPr>
          </w:p>
        </w:tc>
        <w:tc>
          <w:tcPr>
            <w:tcW w:w="4580" w:type="dxa"/>
            <w:tcBorders>
              <w:top w:val="single" w:sz="4" w:space="0" w:color="auto"/>
            </w:tcBorders>
          </w:tcPr>
          <w:p w14:paraId="01E623DD" w14:textId="77777777" w:rsidR="00CB2587" w:rsidRPr="00F84BDE" w:rsidRDefault="00CB2587" w:rsidP="00905470">
            <w:pPr>
              <w:spacing w:after="120"/>
              <w:jc w:val="center"/>
              <w:rPr>
                <w:rFonts w:ascii="Avenir Next LT Pro Light" w:hAnsi="Avenir Next LT Pro Light" w:cs="Arial"/>
                <w:sz w:val="18"/>
                <w:szCs w:val="18"/>
              </w:rPr>
            </w:pPr>
            <w:r w:rsidRPr="00F84BDE">
              <w:rPr>
                <w:rFonts w:ascii="Avenir Next LT Pro Light" w:hAnsi="Avenir Next LT Pro Light" w:cs="Arial"/>
                <w:sz w:val="18"/>
                <w:szCs w:val="18"/>
              </w:rPr>
              <w:t>Nombre y firma</w:t>
            </w:r>
          </w:p>
        </w:tc>
      </w:tr>
      <w:tr w:rsidR="00CB2587" w:rsidRPr="00F84BDE" w14:paraId="5A3036B0" w14:textId="77777777" w:rsidTr="00A26E5C">
        <w:trPr>
          <w:trHeight w:val="567"/>
        </w:trPr>
        <w:tc>
          <w:tcPr>
            <w:tcW w:w="4644" w:type="dxa"/>
            <w:vAlign w:val="bottom"/>
          </w:tcPr>
          <w:p w14:paraId="6C4565DF" w14:textId="77777777" w:rsidR="00CB2587" w:rsidRPr="00F84BDE" w:rsidRDefault="00CB2587" w:rsidP="00905470">
            <w:pPr>
              <w:spacing w:after="120"/>
              <w:jc w:val="center"/>
              <w:rPr>
                <w:rFonts w:ascii="Avenir Next LT Pro Light" w:hAnsi="Avenir Next LT Pro Light" w:cs="Arial"/>
                <w:sz w:val="24"/>
                <w:szCs w:val="24"/>
              </w:rPr>
            </w:pPr>
            <w:r w:rsidRPr="00F84BDE">
              <w:rPr>
                <w:rFonts w:ascii="Avenir Next LT Pro Light" w:hAnsi="Avenir Next LT Pro Light" w:cs="Arial"/>
                <w:b/>
                <w:bCs/>
                <w:sz w:val="24"/>
                <w:szCs w:val="24"/>
              </w:rPr>
              <w:t>Persona prestadora de servicio social</w:t>
            </w:r>
          </w:p>
        </w:tc>
        <w:tc>
          <w:tcPr>
            <w:tcW w:w="236" w:type="dxa"/>
            <w:vAlign w:val="bottom"/>
          </w:tcPr>
          <w:p w14:paraId="3D6207E9" w14:textId="77777777" w:rsidR="00CB2587" w:rsidRPr="00F84BDE" w:rsidRDefault="00CB2587" w:rsidP="00905470">
            <w:pPr>
              <w:spacing w:after="120"/>
              <w:jc w:val="center"/>
              <w:rPr>
                <w:rFonts w:ascii="Avenir Next LT Pro Light" w:hAnsi="Avenir Next LT Pro Light" w:cs="Arial"/>
                <w:sz w:val="24"/>
                <w:szCs w:val="24"/>
              </w:rPr>
            </w:pPr>
          </w:p>
        </w:tc>
        <w:tc>
          <w:tcPr>
            <w:tcW w:w="4580" w:type="dxa"/>
            <w:vAlign w:val="bottom"/>
          </w:tcPr>
          <w:p w14:paraId="74D63EB2" w14:textId="77777777" w:rsidR="00CB2587" w:rsidRPr="00F84BDE" w:rsidRDefault="00CB2587" w:rsidP="00905470">
            <w:pPr>
              <w:spacing w:after="120"/>
              <w:jc w:val="center"/>
              <w:rPr>
                <w:rFonts w:ascii="Avenir Next LT Pro Light" w:hAnsi="Avenir Next LT Pro Light" w:cs="Arial"/>
                <w:sz w:val="24"/>
                <w:szCs w:val="24"/>
              </w:rPr>
            </w:pPr>
            <w:r w:rsidRPr="00F84BDE">
              <w:rPr>
                <w:rFonts w:ascii="Avenir Next LT Pro Light" w:hAnsi="Avenir Next LT Pro Light" w:cs="Arial"/>
                <w:b/>
                <w:bCs/>
                <w:sz w:val="24"/>
                <w:szCs w:val="24"/>
              </w:rPr>
              <w:t>Persona prestadora de servicio social</w:t>
            </w:r>
          </w:p>
        </w:tc>
      </w:tr>
      <w:tr w:rsidR="00CB2587" w:rsidRPr="00F84BDE" w14:paraId="1988B03E" w14:textId="77777777" w:rsidTr="00905470">
        <w:tc>
          <w:tcPr>
            <w:tcW w:w="4644" w:type="dxa"/>
            <w:tcBorders>
              <w:bottom w:val="single" w:sz="4" w:space="0" w:color="auto"/>
            </w:tcBorders>
          </w:tcPr>
          <w:p w14:paraId="06AED9E1" w14:textId="77777777" w:rsidR="00CB2587" w:rsidRPr="00F84BDE" w:rsidRDefault="00CB2587" w:rsidP="00905470">
            <w:pPr>
              <w:spacing w:after="120"/>
              <w:jc w:val="center"/>
              <w:rPr>
                <w:rFonts w:ascii="Avenir Next LT Pro Light" w:hAnsi="Avenir Next LT Pro Light" w:cs="Arial"/>
                <w:sz w:val="24"/>
                <w:szCs w:val="24"/>
              </w:rPr>
            </w:pPr>
          </w:p>
        </w:tc>
        <w:tc>
          <w:tcPr>
            <w:tcW w:w="236" w:type="dxa"/>
          </w:tcPr>
          <w:p w14:paraId="7CE93B57" w14:textId="77777777" w:rsidR="00CB2587" w:rsidRPr="00F84BDE" w:rsidRDefault="00CB2587" w:rsidP="00905470">
            <w:pPr>
              <w:spacing w:after="120"/>
              <w:jc w:val="center"/>
              <w:rPr>
                <w:rFonts w:ascii="Avenir Next LT Pro Light" w:hAnsi="Avenir Next LT Pro Light" w:cs="Arial"/>
                <w:sz w:val="24"/>
                <w:szCs w:val="24"/>
              </w:rPr>
            </w:pPr>
          </w:p>
        </w:tc>
        <w:tc>
          <w:tcPr>
            <w:tcW w:w="4580" w:type="dxa"/>
            <w:tcBorders>
              <w:bottom w:val="single" w:sz="4" w:space="0" w:color="auto"/>
            </w:tcBorders>
          </w:tcPr>
          <w:p w14:paraId="1A967810" w14:textId="77777777" w:rsidR="00CB2587" w:rsidRPr="00F84BDE" w:rsidRDefault="00CB2587" w:rsidP="00905470">
            <w:pPr>
              <w:spacing w:after="120"/>
              <w:jc w:val="center"/>
              <w:rPr>
                <w:rFonts w:ascii="Avenir Next LT Pro Light" w:hAnsi="Avenir Next LT Pro Light" w:cs="Arial"/>
                <w:sz w:val="24"/>
                <w:szCs w:val="24"/>
              </w:rPr>
            </w:pPr>
          </w:p>
        </w:tc>
      </w:tr>
      <w:tr w:rsidR="00CB2587" w:rsidRPr="00F84BDE" w14:paraId="59B60B18" w14:textId="77777777" w:rsidTr="00905470">
        <w:tc>
          <w:tcPr>
            <w:tcW w:w="4644" w:type="dxa"/>
            <w:tcBorders>
              <w:top w:val="single" w:sz="4" w:space="0" w:color="auto"/>
            </w:tcBorders>
          </w:tcPr>
          <w:p w14:paraId="2BDDF75E" w14:textId="77777777" w:rsidR="00CB2587" w:rsidRPr="00F84BDE" w:rsidRDefault="00CB2587" w:rsidP="00905470">
            <w:pPr>
              <w:spacing w:after="120"/>
              <w:jc w:val="center"/>
              <w:rPr>
                <w:rFonts w:ascii="Avenir Next LT Pro Light" w:hAnsi="Avenir Next LT Pro Light" w:cs="Arial"/>
                <w:sz w:val="18"/>
                <w:szCs w:val="18"/>
              </w:rPr>
            </w:pPr>
            <w:r w:rsidRPr="00F84BDE">
              <w:rPr>
                <w:rFonts w:ascii="Avenir Next LT Pro Light" w:hAnsi="Avenir Next LT Pro Light" w:cs="Arial"/>
                <w:sz w:val="18"/>
                <w:szCs w:val="18"/>
              </w:rPr>
              <w:lastRenderedPageBreak/>
              <w:t>Nombre y firma</w:t>
            </w:r>
          </w:p>
        </w:tc>
        <w:tc>
          <w:tcPr>
            <w:tcW w:w="236" w:type="dxa"/>
          </w:tcPr>
          <w:p w14:paraId="7D679781" w14:textId="77777777" w:rsidR="00CB2587" w:rsidRPr="00F84BDE" w:rsidRDefault="00CB2587" w:rsidP="00905470">
            <w:pPr>
              <w:spacing w:after="120"/>
              <w:jc w:val="center"/>
              <w:rPr>
                <w:rFonts w:ascii="Avenir Next LT Pro Light" w:hAnsi="Avenir Next LT Pro Light" w:cs="Arial"/>
                <w:sz w:val="18"/>
                <w:szCs w:val="18"/>
              </w:rPr>
            </w:pPr>
          </w:p>
        </w:tc>
        <w:tc>
          <w:tcPr>
            <w:tcW w:w="4580" w:type="dxa"/>
            <w:tcBorders>
              <w:top w:val="single" w:sz="4" w:space="0" w:color="auto"/>
            </w:tcBorders>
          </w:tcPr>
          <w:p w14:paraId="0A2C1F36" w14:textId="77777777" w:rsidR="00CB2587" w:rsidRPr="00F84BDE" w:rsidRDefault="00CB2587" w:rsidP="00905470">
            <w:pPr>
              <w:spacing w:after="120"/>
              <w:jc w:val="center"/>
              <w:rPr>
                <w:rFonts w:ascii="Avenir Next LT Pro Light" w:hAnsi="Avenir Next LT Pro Light" w:cs="Arial"/>
                <w:sz w:val="18"/>
                <w:szCs w:val="18"/>
              </w:rPr>
            </w:pPr>
            <w:r w:rsidRPr="00F84BDE">
              <w:rPr>
                <w:rFonts w:ascii="Avenir Next LT Pro Light" w:hAnsi="Avenir Next LT Pro Light" w:cs="Arial"/>
                <w:sz w:val="18"/>
                <w:szCs w:val="18"/>
              </w:rPr>
              <w:t>Nombre y firma</w:t>
            </w:r>
          </w:p>
        </w:tc>
      </w:tr>
    </w:tbl>
    <w:p w14:paraId="26280DD2" w14:textId="77777777" w:rsidR="00366D92" w:rsidRDefault="00366D92" w:rsidP="00D17877">
      <w:pPr>
        <w:tabs>
          <w:tab w:val="left" w:pos="437"/>
        </w:tabs>
        <w:spacing w:line="276" w:lineRule="auto"/>
        <w:jc w:val="right"/>
        <w:rPr>
          <w:rFonts w:ascii="Avenir Next LT Pro Light" w:hAnsi="Avenir Next LT Pro Light"/>
          <w:sz w:val="24"/>
          <w:szCs w:val="24"/>
        </w:rPr>
      </w:pPr>
    </w:p>
    <w:sectPr w:rsidR="00366D92" w:rsidSect="000C0E28">
      <w:headerReference w:type="default" r:id="rId7"/>
      <w:footerReference w:type="default" r:id="rId8"/>
      <w:pgSz w:w="12240" w:h="15840"/>
      <w:pgMar w:top="1320" w:right="1460" w:bottom="900" w:left="1460" w:header="374" w:footer="4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E8D24" w14:textId="77777777" w:rsidR="004C4ABD" w:rsidRDefault="004C4ABD" w:rsidP="00A26E5C">
      <w:r>
        <w:separator/>
      </w:r>
    </w:p>
  </w:endnote>
  <w:endnote w:type="continuationSeparator" w:id="0">
    <w:p w14:paraId="777FC99F" w14:textId="77777777" w:rsidR="004C4ABD" w:rsidRDefault="004C4ABD" w:rsidP="00A26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Avenir Next LT Pro Light">
    <w:charset w:val="00"/>
    <w:family w:val="swiss"/>
    <w:pitch w:val="variable"/>
    <w:sig w:usb0="A00000EF" w:usb1="5000204B"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FBF91" w14:textId="1918018F" w:rsidR="00366D92" w:rsidRDefault="00366D92">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Página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p>
  <w:p w14:paraId="5797E643" w14:textId="62BB06FA" w:rsidR="00366D92" w:rsidRPr="00D17877" w:rsidRDefault="00D17877" w:rsidP="00D17877">
    <w:pPr>
      <w:tabs>
        <w:tab w:val="left" w:pos="437"/>
      </w:tabs>
      <w:spacing w:line="276" w:lineRule="auto"/>
      <w:jc w:val="right"/>
      <w:rPr>
        <w:rFonts w:ascii="Avenir Next LT Pro Light" w:hAnsi="Avenir Next LT Pro Light" w:cs="Arial"/>
        <w:sz w:val="20"/>
        <w:szCs w:val="20"/>
      </w:rPr>
    </w:pPr>
    <w:r w:rsidRPr="00D17877">
      <w:rPr>
        <w:rFonts w:ascii="Avenir Next LT Pro Light" w:hAnsi="Avenir Next LT Pro Light" w:cs="Arial"/>
        <w:sz w:val="20"/>
        <w:szCs w:val="20"/>
      </w:rPr>
      <w:t>Procedimiento de referencia</w:t>
    </w:r>
    <w:r w:rsidR="00973AEE">
      <w:rPr>
        <w:rFonts w:ascii="Avenir Next LT Pro Light" w:hAnsi="Avenir Next LT Pro Light" w:cs="Arial"/>
        <w:sz w:val="20"/>
        <w:szCs w:val="20"/>
      </w:rPr>
      <w:t>:</w:t>
    </w:r>
    <w:r w:rsidRPr="00D17877">
      <w:rPr>
        <w:rFonts w:ascii="Avenir Next LT Pro Light" w:hAnsi="Avenir Next LT Pro Light" w:cs="Arial"/>
        <w:sz w:val="20"/>
        <w:szCs w:val="20"/>
      </w:rPr>
      <w:t xml:space="preserve"> DEGDHECyCC/GI/01.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7697D" w14:textId="77777777" w:rsidR="004C4ABD" w:rsidRDefault="004C4ABD" w:rsidP="00A26E5C">
      <w:r>
        <w:separator/>
      </w:r>
    </w:p>
  </w:footnote>
  <w:footnote w:type="continuationSeparator" w:id="0">
    <w:p w14:paraId="263C9ECA" w14:textId="77777777" w:rsidR="004C4ABD" w:rsidRDefault="004C4ABD" w:rsidP="00A26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DC1B" w14:textId="77777777" w:rsidR="00A26E5C" w:rsidRDefault="00A26E5C">
    <w:pPr>
      <w:pStyle w:val="Encabezado"/>
    </w:pPr>
  </w:p>
  <w:p w14:paraId="0686476C" w14:textId="77777777" w:rsidR="00A26E5C" w:rsidRDefault="00A26E5C">
    <w:pPr>
      <w:pStyle w:val="Encabezado"/>
    </w:pPr>
  </w:p>
  <w:tbl>
    <w:tblPr>
      <w:tblStyle w:val="Tablaconcuadrcula"/>
      <w:tblW w:w="949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16"/>
      <w:gridCol w:w="4021"/>
      <w:gridCol w:w="3261"/>
    </w:tblGrid>
    <w:tr w:rsidR="00A26E5C" w:rsidRPr="00052469" w14:paraId="15FCC1F4" w14:textId="77777777" w:rsidTr="00052469">
      <w:tc>
        <w:tcPr>
          <w:tcW w:w="2216" w:type="dxa"/>
        </w:tcPr>
        <w:p w14:paraId="64B4A470" w14:textId="77777777" w:rsidR="00A26E5C" w:rsidRDefault="00A26E5C" w:rsidP="00A26E5C">
          <w:pPr>
            <w:pStyle w:val="Encabezado"/>
          </w:pPr>
          <w:r>
            <w:rPr>
              <w:noProof/>
              <w:lang w:val="es-MX" w:eastAsia="es-MX"/>
            </w:rPr>
            <w:drawing>
              <wp:inline distT="0" distB="0" distL="0" distR="0" wp14:anchorId="1CA964E7" wp14:editId="2990B70A">
                <wp:extent cx="1269401" cy="756000"/>
                <wp:effectExtent l="0" t="0" r="635" b="6350"/>
                <wp:docPr id="623012790" name="Imagen 623012790" descr="logo oficial negro-04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oficial negro-04 (002)"/>
                        <pic:cNvPicPr>
                          <a:picLocks noChangeAspect="1" noChangeArrowheads="1"/>
                        </pic:cNvPicPr>
                      </pic:nvPicPr>
                      <pic:blipFill rotWithShape="1">
                        <a:blip r:embed="rId1">
                          <a:extLst>
                            <a:ext uri="{28A0092B-C50C-407E-A947-70E740481C1C}">
                              <a14:useLocalDpi xmlns:a14="http://schemas.microsoft.com/office/drawing/2010/main" val="0"/>
                            </a:ext>
                          </a:extLst>
                        </a:blip>
                        <a:srcRect l="3725" t="13400" r="3144" b="14760"/>
                        <a:stretch/>
                      </pic:blipFill>
                      <pic:spPr bwMode="auto">
                        <a:xfrm>
                          <a:off x="0" y="0"/>
                          <a:ext cx="1269401" cy="756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21" w:type="dxa"/>
          <w:vAlign w:val="center"/>
        </w:tcPr>
        <w:p w14:paraId="01155600" w14:textId="7A460DA3" w:rsidR="00A26E5C" w:rsidRPr="00A60AC3" w:rsidRDefault="00063D7F" w:rsidP="00063D7F">
          <w:pPr>
            <w:pStyle w:val="NormalWeb"/>
            <w:jc w:val="both"/>
            <w:rPr>
              <w:b/>
              <w:bCs/>
              <w:sz w:val="20"/>
              <w:szCs w:val="20"/>
            </w:rPr>
          </w:pPr>
          <w:r w:rsidRPr="00063D7F">
            <w:rPr>
              <w:rFonts w:ascii="Arial" w:hAnsi="Arial" w:cs="Arial"/>
              <w:b/>
              <w:bCs/>
              <w:sz w:val="20"/>
              <w:szCs w:val="20"/>
            </w:rPr>
            <w:t>Consideraciones generales para la coordinación de las actividades de las</w:t>
          </w:r>
          <w:r>
            <w:rPr>
              <w:rFonts w:ascii="Arial" w:hAnsi="Arial" w:cs="Arial"/>
              <w:b/>
              <w:bCs/>
              <w:sz w:val="20"/>
              <w:szCs w:val="20"/>
            </w:rPr>
            <w:t xml:space="preserve"> </w:t>
          </w:r>
          <w:r w:rsidRPr="00063D7F">
            <w:rPr>
              <w:rFonts w:ascii="Arial" w:hAnsi="Arial" w:cs="Arial"/>
              <w:b/>
              <w:bCs/>
              <w:sz w:val="20"/>
              <w:szCs w:val="20"/>
            </w:rPr>
            <w:t>personas prestadoras de servicio social</w:t>
          </w:r>
          <w:r>
            <w:rPr>
              <w:rFonts w:ascii="Arial" w:hAnsi="Arial" w:cs="Arial"/>
              <w:b/>
              <w:bCs/>
              <w:sz w:val="20"/>
              <w:szCs w:val="20"/>
            </w:rPr>
            <w:t>.</w:t>
          </w:r>
        </w:p>
      </w:tc>
      <w:tc>
        <w:tcPr>
          <w:tcW w:w="3261" w:type="dxa"/>
          <w:vAlign w:val="center"/>
        </w:tcPr>
        <w:p w14:paraId="2D6E3296" w14:textId="77777777" w:rsidR="00A26E5C" w:rsidRPr="00052469" w:rsidRDefault="00366D92" w:rsidP="00D17877">
          <w:pPr>
            <w:pStyle w:val="Encabezado"/>
            <w:jc w:val="right"/>
            <w:rPr>
              <w:rFonts w:ascii="Arial" w:eastAsia="Times New Roman" w:hAnsi="Arial" w:cs="Arial"/>
              <w:color w:val="000000"/>
              <w:sz w:val="20"/>
              <w:szCs w:val="20"/>
            </w:rPr>
          </w:pPr>
          <w:proofErr w:type="spellStart"/>
          <w:r w:rsidRPr="00052469">
            <w:rPr>
              <w:rFonts w:ascii="Arial" w:eastAsia="Times New Roman" w:hAnsi="Arial" w:cs="Arial"/>
              <w:color w:val="000000"/>
              <w:sz w:val="20"/>
              <w:szCs w:val="20"/>
            </w:rPr>
            <w:t>DEGDHECyCC</w:t>
          </w:r>
          <w:proofErr w:type="spellEnd"/>
          <w:r w:rsidRPr="00052469">
            <w:rPr>
              <w:rFonts w:ascii="Arial" w:eastAsia="Times New Roman" w:hAnsi="Arial" w:cs="Arial"/>
              <w:color w:val="000000"/>
              <w:sz w:val="20"/>
              <w:szCs w:val="20"/>
            </w:rPr>
            <w:t>/FR/06</w:t>
          </w:r>
        </w:p>
        <w:p w14:paraId="784AB805" w14:textId="4123479A" w:rsidR="00052469" w:rsidRPr="00052469" w:rsidRDefault="00052469" w:rsidP="00D17877">
          <w:pPr>
            <w:pStyle w:val="Encabezado"/>
            <w:jc w:val="right"/>
            <w:rPr>
              <w:rFonts w:ascii="Arial" w:eastAsia="Times New Roman" w:hAnsi="Arial" w:cs="Arial"/>
              <w:color w:val="000000"/>
              <w:sz w:val="20"/>
              <w:szCs w:val="20"/>
            </w:rPr>
          </w:pPr>
          <w:r w:rsidRPr="00052469">
            <w:rPr>
              <w:rFonts w:ascii="Arial" w:eastAsia="Times New Roman" w:hAnsi="Arial" w:cs="Arial"/>
              <w:color w:val="000000"/>
              <w:sz w:val="20"/>
              <w:szCs w:val="20"/>
            </w:rPr>
            <w:t>Revisión:01</w:t>
          </w:r>
        </w:p>
        <w:p w14:paraId="67BAF409" w14:textId="45DF66D0" w:rsidR="00052469" w:rsidRPr="00052469" w:rsidRDefault="00052469" w:rsidP="00D17877">
          <w:pPr>
            <w:pStyle w:val="Encabezado"/>
            <w:jc w:val="right"/>
            <w:rPr>
              <w:rFonts w:ascii="Arial" w:eastAsia="Times New Roman" w:hAnsi="Arial" w:cs="Arial"/>
              <w:color w:val="000000"/>
              <w:sz w:val="20"/>
              <w:szCs w:val="20"/>
            </w:rPr>
          </w:pPr>
          <w:r w:rsidRPr="00052469">
            <w:rPr>
              <w:rFonts w:ascii="Arial" w:eastAsia="Times New Roman" w:hAnsi="Arial" w:cs="Arial"/>
              <w:color w:val="000000"/>
              <w:sz w:val="20"/>
              <w:szCs w:val="20"/>
            </w:rPr>
            <w:t>Fecha de revisión</w:t>
          </w:r>
          <w:r w:rsidR="00C24FF9">
            <w:rPr>
              <w:rFonts w:ascii="Arial" w:eastAsia="Times New Roman" w:hAnsi="Arial" w:cs="Arial"/>
              <w:color w:val="000000"/>
              <w:sz w:val="20"/>
              <w:szCs w:val="20"/>
            </w:rPr>
            <w:t xml:space="preserve">: </w:t>
          </w:r>
          <w:r w:rsidR="00EE3D85">
            <w:rPr>
              <w:rFonts w:ascii="Arial" w:eastAsia="Times New Roman" w:hAnsi="Arial" w:cs="Arial"/>
              <w:color w:val="000000"/>
              <w:sz w:val="20"/>
              <w:szCs w:val="20"/>
            </w:rPr>
            <w:t>30</w:t>
          </w:r>
          <w:r w:rsidRPr="00052469">
            <w:rPr>
              <w:rFonts w:ascii="Arial" w:eastAsia="Times New Roman" w:hAnsi="Arial" w:cs="Arial"/>
              <w:color w:val="000000"/>
              <w:sz w:val="20"/>
              <w:szCs w:val="20"/>
            </w:rPr>
            <w:t>/</w:t>
          </w:r>
          <w:r w:rsidR="00EE3D85">
            <w:rPr>
              <w:rFonts w:ascii="Arial" w:eastAsia="Times New Roman" w:hAnsi="Arial" w:cs="Arial"/>
              <w:color w:val="000000"/>
              <w:sz w:val="20"/>
              <w:szCs w:val="20"/>
            </w:rPr>
            <w:t>01</w:t>
          </w:r>
          <w:r w:rsidRPr="00052469">
            <w:rPr>
              <w:rFonts w:ascii="Arial" w:eastAsia="Times New Roman" w:hAnsi="Arial" w:cs="Arial"/>
              <w:color w:val="000000"/>
              <w:sz w:val="20"/>
              <w:szCs w:val="20"/>
            </w:rPr>
            <w:t>/2025</w:t>
          </w:r>
        </w:p>
        <w:p w14:paraId="0A8B6C68" w14:textId="77777777" w:rsidR="00D17877" w:rsidRPr="00052469" w:rsidRDefault="00D17877" w:rsidP="00D17877">
          <w:pPr>
            <w:pStyle w:val="Encabezado"/>
            <w:jc w:val="right"/>
            <w:rPr>
              <w:rFonts w:ascii="Arial" w:eastAsia="Times New Roman" w:hAnsi="Arial" w:cs="Arial"/>
              <w:b/>
              <w:bCs/>
              <w:color w:val="000000"/>
              <w:sz w:val="20"/>
              <w:szCs w:val="20"/>
            </w:rPr>
          </w:pPr>
        </w:p>
        <w:p w14:paraId="72AEB7E7" w14:textId="77777777" w:rsidR="00D17877" w:rsidRPr="00052469" w:rsidRDefault="00D17877" w:rsidP="00D17877">
          <w:pPr>
            <w:pStyle w:val="Encabezado"/>
            <w:jc w:val="right"/>
            <w:rPr>
              <w:rFonts w:ascii="Arial" w:eastAsia="Times New Roman" w:hAnsi="Arial" w:cs="Arial"/>
              <w:b/>
              <w:bCs/>
              <w:color w:val="000000"/>
              <w:sz w:val="20"/>
              <w:szCs w:val="20"/>
            </w:rPr>
          </w:pPr>
        </w:p>
        <w:p w14:paraId="2A90F466" w14:textId="2B3B80E7" w:rsidR="00D17877" w:rsidRPr="00052469" w:rsidRDefault="00D17877" w:rsidP="00D17877">
          <w:pPr>
            <w:pStyle w:val="Encabezado"/>
            <w:rPr>
              <w:rFonts w:ascii="Arial" w:hAnsi="Arial" w:cs="Arial"/>
              <w:b/>
              <w:bCs/>
              <w:sz w:val="20"/>
              <w:szCs w:val="20"/>
            </w:rPr>
          </w:pPr>
        </w:p>
      </w:tc>
    </w:tr>
  </w:tbl>
  <w:p w14:paraId="7B863434" w14:textId="77777777" w:rsidR="00A26E5C" w:rsidRDefault="00A26E5C" w:rsidP="00A26E5C">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10CFE"/>
    <w:multiLevelType w:val="hybridMultilevel"/>
    <w:tmpl w:val="5846FA64"/>
    <w:lvl w:ilvl="0" w:tplc="E8C8FBAE">
      <w:start w:val="1"/>
      <w:numFmt w:val="lowerLetter"/>
      <w:lvlText w:val="%1."/>
      <w:lvlJc w:val="left"/>
      <w:pPr>
        <w:ind w:left="720" w:hanging="360"/>
      </w:pPr>
      <w:rPr>
        <w:rFonts w:ascii="Arial MT" w:eastAsia="Arial MT" w:hAnsi="Arial MT" w:cs="Arial MT" w:hint="default"/>
        <w:spacing w:val="-1"/>
        <w:w w:val="100"/>
        <w:sz w:val="22"/>
        <w:szCs w:val="22"/>
        <w:lang w:val="es-ES" w:eastAsia="en-US" w:bidi="ar-S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11982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87"/>
    <w:rsid w:val="00052469"/>
    <w:rsid w:val="00061689"/>
    <w:rsid w:val="00063D7F"/>
    <w:rsid w:val="00086CFF"/>
    <w:rsid w:val="000C0E28"/>
    <w:rsid w:val="00366D92"/>
    <w:rsid w:val="004C4ABD"/>
    <w:rsid w:val="004D5222"/>
    <w:rsid w:val="0054738A"/>
    <w:rsid w:val="00877AF5"/>
    <w:rsid w:val="00966AD8"/>
    <w:rsid w:val="00973AEE"/>
    <w:rsid w:val="00A26E5C"/>
    <w:rsid w:val="00A274C9"/>
    <w:rsid w:val="00A72B30"/>
    <w:rsid w:val="00B359E4"/>
    <w:rsid w:val="00C24FF9"/>
    <w:rsid w:val="00CB2587"/>
    <w:rsid w:val="00CD6D4D"/>
    <w:rsid w:val="00D17877"/>
    <w:rsid w:val="00D46E72"/>
    <w:rsid w:val="00E76A15"/>
    <w:rsid w:val="00EE3D85"/>
    <w:rsid w:val="00FF41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E7C96"/>
  <w15:chartTrackingRefBased/>
  <w15:docId w15:val="{F1115882-CC96-433B-8DB9-1CAD24D4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Light" w:eastAsiaTheme="minorHAnsi" w:hAnsi="Avenir Next LT Pro Light"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B2587"/>
    <w:pPr>
      <w:widowControl w:val="0"/>
      <w:autoSpaceDE w:val="0"/>
      <w:autoSpaceDN w:val="0"/>
      <w:spacing w:after="0" w:line="240" w:lineRule="auto"/>
    </w:pPr>
    <w:rPr>
      <w:rFonts w:ascii="Arial MT" w:eastAsia="Arial MT" w:hAnsi="Arial MT" w:cs="Arial MT"/>
      <w:lang w:val="es-ES"/>
    </w:rPr>
  </w:style>
  <w:style w:type="paragraph" w:styleId="Ttulo1">
    <w:name w:val="heading 1"/>
    <w:basedOn w:val="Normal"/>
    <w:next w:val="Normal"/>
    <w:link w:val="Ttulo1Car"/>
    <w:uiPriority w:val="9"/>
    <w:qFormat/>
    <w:rsid w:val="00CB258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2587"/>
    <w:rPr>
      <w:rFonts w:asciiTheme="majorHAnsi" w:eastAsiaTheme="majorEastAsia" w:hAnsiTheme="majorHAnsi" w:cstheme="majorBidi"/>
      <w:b/>
      <w:bCs/>
      <w:color w:val="2F5496" w:themeColor="accent1" w:themeShade="BF"/>
      <w:sz w:val="28"/>
      <w:szCs w:val="28"/>
      <w:lang w:val="es-ES"/>
    </w:rPr>
  </w:style>
  <w:style w:type="paragraph" w:customStyle="1" w:styleId="Ttulo11">
    <w:name w:val="Título 11"/>
    <w:basedOn w:val="Normal"/>
    <w:uiPriority w:val="1"/>
    <w:qFormat/>
    <w:rsid w:val="00CB2587"/>
    <w:pPr>
      <w:spacing w:before="91"/>
      <w:ind w:left="808" w:hanging="567"/>
      <w:outlineLvl w:val="1"/>
    </w:pPr>
    <w:rPr>
      <w:rFonts w:ascii="Arial" w:eastAsia="Arial" w:hAnsi="Arial" w:cs="Arial"/>
      <w:b/>
      <w:bCs/>
    </w:rPr>
  </w:style>
  <w:style w:type="paragraph" w:styleId="Prrafodelista">
    <w:name w:val="List Paragraph"/>
    <w:aliases w:val="AB List 1,Bullet Points,Bullet List,FooterText,numbered,Paragraphe de liste1,List Paragraph1,Bulletr List Paragraph"/>
    <w:basedOn w:val="Normal"/>
    <w:link w:val="PrrafodelistaCar"/>
    <w:uiPriority w:val="34"/>
    <w:qFormat/>
    <w:rsid w:val="00CB2587"/>
    <w:pPr>
      <w:ind w:left="961" w:hanging="360"/>
    </w:pPr>
  </w:style>
  <w:style w:type="table" w:styleId="Tablaconcuadrcula">
    <w:name w:val="Table Grid"/>
    <w:basedOn w:val="Tablanormal"/>
    <w:uiPriority w:val="39"/>
    <w:rsid w:val="00CB2587"/>
    <w:pPr>
      <w:spacing w:after="0" w:line="240" w:lineRule="auto"/>
    </w:pPr>
    <w:rPr>
      <w:rFonts w:asciiTheme="minorHAnsi" w:hAnsi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AB List 1 Car,Bullet Points Car,Bullet List Car,FooterText Car,numbered Car,Paragraphe de liste1 Car,List Paragraph1 Car,Bulletr List Paragraph Car"/>
    <w:basedOn w:val="Fuentedeprrafopredeter"/>
    <w:link w:val="Prrafodelista"/>
    <w:uiPriority w:val="34"/>
    <w:rsid w:val="00CB2587"/>
    <w:rPr>
      <w:rFonts w:ascii="Arial MT" w:eastAsia="Arial MT" w:hAnsi="Arial MT" w:cs="Arial MT"/>
      <w:lang w:val="es-ES"/>
    </w:rPr>
  </w:style>
  <w:style w:type="paragraph" w:styleId="Encabezado">
    <w:name w:val="header"/>
    <w:basedOn w:val="Normal"/>
    <w:link w:val="EncabezadoCar"/>
    <w:uiPriority w:val="99"/>
    <w:unhideWhenUsed/>
    <w:rsid w:val="00A26E5C"/>
    <w:pPr>
      <w:tabs>
        <w:tab w:val="center" w:pos="4252"/>
        <w:tab w:val="right" w:pos="8504"/>
      </w:tabs>
    </w:pPr>
  </w:style>
  <w:style w:type="character" w:customStyle="1" w:styleId="EncabezadoCar">
    <w:name w:val="Encabezado Car"/>
    <w:basedOn w:val="Fuentedeprrafopredeter"/>
    <w:link w:val="Encabezado"/>
    <w:uiPriority w:val="99"/>
    <w:rsid w:val="00A26E5C"/>
    <w:rPr>
      <w:rFonts w:ascii="Arial MT" w:eastAsia="Arial MT" w:hAnsi="Arial MT" w:cs="Arial MT"/>
      <w:lang w:val="es-ES"/>
    </w:rPr>
  </w:style>
  <w:style w:type="paragraph" w:styleId="Piedepgina">
    <w:name w:val="footer"/>
    <w:basedOn w:val="Normal"/>
    <w:link w:val="PiedepginaCar"/>
    <w:uiPriority w:val="99"/>
    <w:unhideWhenUsed/>
    <w:rsid w:val="00A26E5C"/>
    <w:pPr>
      <w:tabs>
        <w:tab w:val="center" w:pos="4252"/>
        <w:tab w:val="right" w:pos="8504"/>
      </w:tabs>
    </w:pPr>
  </w:style>
  <w:style w:type="character" w:customStyle="1" w:styleId="PiedepginaCar">
    <w:name w:val="Pie de página Car"/>
    <w:basedOn w:val="Fuentedeprrafopredeter"/>
    <w:link w:val="Piedepgina"/>
    <w:uiPriority w:val="99"/>
    <w:rsid w:val="00A26E5C"/>
    <w:rPr>
      <w:rFonts w:ascii="Arial MT" w:eastAsia="Arial MT" w:hAnsi="Arial MT" w:cs="Arial MT"/>
      <w:lang w:val="es-ES"/>
    </w:rPr>
  </w:style>
  <w:style w:type="paragraph" w:styleId="NormalWeb">
    <w:name w:val="Normal (Web)"/>
    <w:basedOn w:val="Normal"/>
    <w:uiPriority w:val="99"/>
    <w:unhideWhenUsed/>
    <w:rsid w:val="00A26E5C"/>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paragraph" w:styleId="Revisin">
    <w:name w:val="Revision"/>
    <w:hidden/>
    <w:uiPriority w:val="99"/>
    <w:semiHidden/>
    <w:rsid w:val="00366D92"/>
    <w:pPr>
      <w:spacing w:after="0" w:line="240" w:lineRule="auto"/>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622</Words>
  <Characters>3424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Rogelio Cruz Valdez</dc:creator>
  <cp:keywords/>
  <dc:description/>
  <cp:lastModifiedBy>José Jonathan Ibarra Vargas</cp:lastModifiedBy>
  <cp:revision>5</cp:revision>
  <dcterms:created xsi:type="dcterms:W3CDTF">2025-01-16T22:35:00Z</dcterms:created>
  <dcterms:modified xsi:type="dcterms:W3CDTF">2025-02-17T18:29:00Z</dcterms:modified>
</cp:coreProperties>
</file>