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4B78" w14:textId="01ACF3EE" w:rsidR="000561DF" w:rsidRPr="009421EB" w:rsidRDefault="00636158" w:rsidP="00EC723A">
      <w:pPr>
        <w:ind w:right="107"/>
        <w:jc w:val="center"/>
        <w:rPr>
          <w:rFonts w:ascii="Arial" w:hAnsi="Arial" w:cs="Arial"/>
          <w:bCs/>
          <w:sz w:val="22"/>
        </w:rPr>
      </w:pPr>
      <w:r w:rsidRPr="009421EB">
        <w:rPr>
          <w:rFonts w:ascii="Arial" w:hAnsi="Arial" w:cs="Arial"/>
          <w:b/>
        </w:rPr>
        <w:t>Etiquetas para los separ</w:t>
      </w:r>
      <w:r w:rsidR="00E216BB" w:rsidRPr="009421EB">
        <w:rPr>
          <w:rFonts w:ascii="Arial" w:hAnsi="Arial" w:cs="Arial"/>
          <w:b/>
        </w:rPr>
        <w:t xml:space="preserve">adores de los </w:t>
      </w:r>
      <w:r w:rsidRPr="009421EB">
        <w:rPr>
          <w:rFonts w:ascii="Arial" w:hAnsi="Arial" w:cs="Arial"/>
          <w:b/>
        </w:rPr>
        <w:t>expediente</w:t>
      </w:r>
      <w:r w:rsidR="00E216BB" w:rsidRPr="009421EB">
        <w:rPr>
          <w:rFonts w:ascii="Arial" w:hAnsi="Arial" w:cs="Arial"/>
          <w:b/>
        </w:rPr>
        <w:t>s</w:t>
      </w:r>
      <w:r w:rsidRPr="009421EB">
        <w:rPr>
          <w:rFonts w:ascii="Arial" w:hAnsi="Arial" w:cs="Arial"/>
          <w:b/>
        </w:rPr>
        <w:t xml:space="preserve"> de cómputo distrital de la elección de</w:t>
      </w:r>
      <w:r w:rsidR="003C68D7" w:rsidRPr="009421EB">
        <w:rPr>
          <w:rFonts w:ascii="Arial" w:hAnsi="Arial" w:cs="Arial"/>
          <w:b/>
        </w:rPr>
        <w:t xml:space="preserve"> </w:t>
      </w:r>
      <w:r w:rsidR="001A6176" w:rsidRPr="009421EB">
        <w:rPr>
          <w:rFonts w:ascii="Arial" w:hAnsi="Arial" w:cs="Arial"/>
          <w:b/>
        </w:rPr>
        <w:t>TDJ</w:t>
      </w:r>
    </w:p>
    <w:p w14:paraId="6F8E959B" w14:textId="77777777" w:rsidR="00307504" w:rsidRPr="009421EB" w:rsidRDefault="00307504" w:rsidP="00636158">
      <w:pPr>
        <w:ind w:right="-143"/>
        <w:jc w:val="both"/>
        <w:rPr>
          <w:rFonts w:ascii="Arial" w:hAnsi="Arial" w:cs="Arial"/>
          <w:bCs/>
          <w:sz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36"/>
      </w:tblGrid>
      <w:tr w:rsidR="00127160" w:rsidRPr="009421EB" w14:paraId="79F1E1E9" w14:textId="77777777" w:rsidTr="00475476">
        <w:trPr>
          <w:trHeight w:val="804"/>
          <w:jc w:val="center"/>
        </w:trPr>
        <w:tc>
          <w:tcPr>
            <w:tcW w:w="4836" w:type="dxa"/>
            <w:tcBorders>
              <w:bottom w:val="single" w:sz="4" w:space="0" w:color="auto"/>
            </w:tcBorders>
            <w:vAlign w:val="center"/>
          </w:tcPr>
          <w:p w14:paraId="11014CF4" w14:textId="68406ED4" w:rsidR="00B63078" w:rsidRPr="009421EB" w:rsidRDefault="00B63078" w:rsidP="001271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92605184"/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Cuadro control</w:t>
            </w:r>
          </w:p>
        </w:tc>
      </w:tr>
      <w:tr w:rsidR="00475476" w:rsidRPr="009421EB" w14:paraId="1D55A947" w14:textId="77777777" w:rsidTr="00475476">
        <w:trPr>
          <w:trHeight w:val="394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17295" w14:textId="77777777" w:rsidR="00475476" w:rsidRPr="009421EB" w:rsidRDefault="00475476" w:rsidP="0047547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0666D" w:rsidRPr="009421EB" w14:paraId="59F1B4D4" w14:textId="77777777" w:rsidTr="00475476">
        <w:trPr>
          <w:trHeight w:val="804"/>
          <w:jc w:val="center"/>
        </w:trPr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F18A8" w14:textId="6B96FBE6" w:rsidR="0050666D" w:rsidRPr="009421EB" w:rsidRDefault="001767DA" w:rsidP="0050666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Actas de Cómputo Distrital</w:t>
            </w:r>
          </w:p>
        </w:tc>
      </w:tr>
      <w:tr w:rsidR="00CC66D5" w:rsidRPr="009421EB" w14:paraId="77D1BA10" w14:textId="77777777" w:rsidTr="00963D49">
        <w:trPr>
          <w:trHeight w:val="172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FD6D6" w14:textId="77777777" w:rsidR="00CC66D5" w:rsidRPr="009421EB" w:rsidRDefault="00CC66D5" w:rsidP="006E6E93">
            <w:pPr>
              <w:rPr>
                <w:rFonts w:ascii="Arial" w:hAnsi="Arial" w:cs="Arial"/>
              </w:rPr>
            </w:pPr>
          </w:p>
        </w:tc>
      </w:tr>
      <w:tr w:rsidR="00963D49" w:rsidRPr="009421EB" w14:paraId="33803BDF" w14:textId="77777777" w:rsidTr="00963D49">
        <w:trPr>
          <w:trHeight w:val="696"/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C812" w14:textId="256DD177" w:rsidR="00963D49" w:rsidRPr="009421EB" w:rsidRDefault="00963D49" w:rsidP="00963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Voto Anticipado</w:t>
            </w:r>
          </w:p>
        </w:tc>
      </w:tr>
      <w:tr w:rsidR="00963D49" w:rsidRPr="009421EB" w14:paraId="025C5DC7" w14:textId="77777777" w:rsidTr="00CC66D5">
        <w:trPr>
          <w:trHeight w:val="172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9A719" w14:textId="77777777" w:rsidR="00963D49" w:rsidRPr="009421EB" w:rsidRDefault="00963D49" w:rsidP="006E6E93">
            <w:pPr>
              <w:rPr>
                <w:rFonts w:ascii="Arial" w:hAnsi="Arial" w:cs="Arial"/>
              </w:rPr>
            </w:pPr>
          </w:p>
        </w:tc>
      </w:tr>
      <w:tr w:rsidR="00CC66D5" w:rsidRPr="009421EB" w14:paraId="6753B3F5" w14:textId="77777777" w:rsidTr="00CC66D5">
        <w:trPr>
          <w:trHeight w:val="804"/>
          <w:jc w:val="center"/>
        </w:trPr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BEE59" w14:textId="0E763E03" w:rsidR="00CC66D5" w:rsidRPr="009421EB" w:rsidRDefault="001767DA" w:rsidP="006E6E9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Actas de Escrutinio y Cómputo de Casilla Seccional</w:t>
            </w:r>
          </w:p>
        </w:tc>
      </w:tr>
      <w:tr w:rsidR="00CC66D5" w:rsidRPr="009421EB" w14:paraId="51A09D4D" w14:textId="77777777" w:rsidTr="00CC66D5">
        <w:trPr>
          <w:trHeight w:val="172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B9FDD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62957883" w14:textId="77777777" w:rsidTr="00CC66D5">
        <w:trPr>
          <w:trHeight w:val="804"/>
          <w:jc w:val="center"/>
        </w:trPr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F7FC5" w14:textId="4CEB564C" w:rsidR="00CC66D5" w:rsidRPr="009421EB" w:rsidRDefault="00CC66D5" w:rsidP="006E6E9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Actas de la Jornada Electoral, </w:t>
            </w:r>
            <w:r w:rsidR="009203B2" w:rsidRPr="009421EB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lasificación y </w:t>
            </w:r>
            <w:r w:rsidR="009203B2" w:rsidRPr="009421EB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>onteo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9203B2" w:rsidRPr="009421EB">
              <w:rPr>
                <w:rFonts w:ascii="Arial" w:hAnsi="Arial" w:cs="Arial"/>
                <w:i/>
                <w:sz w:val="22"/>
                <w:szCs w:val="22"/>
              </w:rPr>
              <w:t xml:space="preserve"> y Constancia de Clausura de Casilla Seccional </w:t>
            </w:r>
          </w:p>
        </w:tc>
      </w:tr>
      <w:tr w:rsidR="00CC66D5" w:rsidRPr="009421EB" w14:paraId="15C81EF7" w14:textId="77777777" w:rsidTr="00CC66D5">
        <w:trPr>
          <w:trHeight w:val="172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D3287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19EC90E6" w14:textId="77777777" w:rsidTr="00CC66D5">
        <w:trPr>
          <w:trHeight w:val="804"/>
          <w:jc w:val="center"/>
        </w:trPr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8ACDE" w14:textId="77777777" w:rsidR="00CC66D5" w:rsidRPr="009421EB" w:rsidRDefault="00CC66D5" w:rsidP="006E6E93">
            <w:pPr>
              <w:jc w:val="center"/>
              <w:rPr>
                <w:rFonts w:ascii="Arial" w:hAnsi="Arial" w:cs="Arial"/>
                <w:i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>Hojas de Incidentes</w:t>
            </w:r>
          </w:p>
        </w:tc>
      </w:tr>
      <w:tr w:rsidR="00CC66D5" w:rsidRPr="009421EB" w14:paraId="6FB63003" w14:textId="77777777" w:rsidTr="00CC66D5">
        <w:trPr>
          <w:trHeight w:val="172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F8FA3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725B0A84" w14:textId="77777777" w:rsidTr="00CC66D5">
        <w:trPr>
          <w:trHeight w:val="804"/>
          <w:jc w:val="center"/>
        </w:trPr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CE17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Escritos de Incidentes </w:t>
            </w:r>
          </w:p>
        </w:tc>
      </w:tr>
      <w:tr w:rsidR="00CC66D5" w:rsidRPr="009421EB" w14:paraId="46049AD5" w14:textId="77777777" w:rsidTr="00CC66D5">
        <w:trPr>
          <w:trHeight w:val="172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F52B4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64C052B2" w14:textId="77777777" w:rsidTr="00CC66D5">
        <w:trPr>
          <w:trHeight w:val="804"/>
          <w:jc w:val="center"/>
        </w:trPr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4B63F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Acta Circunstanciada que da cuenta de los documentos que no se integran al expediente</w:t>
            </w:r>
          </w:p>
        </w:tc>
      </w:tr>
      <w:tr w:rsidR="00CC66D5" w:rsidRPr="009421EB" w14:paraId="1E207D0F" w14:textId="77777777" w:rsidTr="00CC66D5">
        <w:trPr>
          <w:trHeight w:val="172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15F44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13154E11" w14:textId="77777777" w:rsidTr="00CC66D5">
        <w:trPr>
          <w:trHeight w:val="804"/>
          <w:jc w:val="center"/>
        </w:trPr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A7B9E" w14:textId="7E8DADA4" w:rsidR="00CC66D5" w:rsidRPr="009421EB" w:rsidRDefault="00CC66D5" w:rsidP="006E6E9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Acta Circunstanciada de la Recepción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Estado </w:t>
            </w: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los </w:t>
            </w: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Paquetes Electorales</w:t>
            </w:r>
          </w:p>
        </w:tc>
      </w:tr>
      <w:tr w:rsidR="00CC66D5" w:rsidRPr="009421EB" w14:paraId="1E81B500" w14:textId="77777777" w:rsidTr="00CC66D5">
        <w:trPr>
          <w:trHeight w:val="172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0AAB5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1763A8D8" w14:textId="77777777" w:rsidTr="00CC66D5">
        <w:trPr>
          <w:trHeight w:val="804"/>
          <w:jc w:val="center"/>
        </w:trPr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99345" w14:textId="30007851" w:rsidR="00CC66D5" w:rsidRPr="009421EB" w:rsidRDefault="00CC66D5" w:rsidP="006E6E9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Acta Circunstanciada de 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>la realización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 de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 Cómputo Distrital</w:t>
            </w:r>
          </w:p>
        </w:tc>
      </w:tr>
      <w:tr w:rsidR="00CC66D5" w:rsidRPr="009421EB" w14:paraId="72717530" w14:textId="77777777" w:rsidTr="00CC66D5">
        <w:trPr>
          <w:trHeight w:val="172"/>
          <w:jc w:val="center"/>
        </w:trPr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113CC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590C1CC6" w14:textId="77777777" w:rsidTr="00B71102">
        <w:trPr>
          <w:trHeight w:val="667"/>
          <w:jc w:val="center"/>
        </w:trPr>
        <w:tc>
          <w:tcPr>
            <w:tcW w:w="4836" w:type="dxa"/>
            <w:tcBorders>
              <w:top w:val="single" w:sz="4" w:space="0" w:color="auto"/>
            </w:tcBorders>
            <w:vAlign w:val="center"/>
          </w:tcPr>
          <w:p w14:paraId="05A9AADA" w14:textId="77777777" w:rsidR="00CC66D5" w:rsidRPr="009421EB" w:rsidRDefault="00CC66D5" w:rsidP="006E6E93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>Informe sobre el Proceso Electoral</w:t>
            </w:r>
          </w:p>
        </w:tc>
      </w:tr>
      <w:bookmarkEnd w:id="0"/>
    </w:tbl>
    <w:p w14:paraId="69179320" w14:textId="77777777" w:rsidR="002D77D9" w:rsidRPr="009421EB" w:rsidRDefault="002D77D9" w:rsidP="00B71102">
      <w:pPr>
        <w:ind w:right="-143"/>
        <w:rPr>
          <w:rFonts w:ascii="Arial" w:hAnsi="Arial" w:cs="Arial"/>
          <w:b/>
        </w:rPr>
      </w:pPr>
    </w:p>
    <w:sectPr w:rsidR="002D77D9" w:rsidRPr="009421EB" w:rsidSect="00B711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187D" w14:textId="77777777" w:rsidR="00387115" w:rsidRDefault="003871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5566" w14:textId="77777777" w:rsidR="00387115" w:rsidRDefault="003871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0DD8" w14:textId="4BCA2C62" w:rsidR="007D7C40" w:rsidRDefault="007D7C40" w:rsidP="007D7C40">
    <w:pPr>
      <w:pStyle w:val="Piedepgina"/>
      <w:jc w:val="right"/>
    </w:pPr>
    <w:bookmarkStart w:id="1" w:name="_Hlk160118366"/>
    <w:bookmarkStart w:id="2" w:name="_Hlk160118367"/>
    <w:bookmarkStart w:id="3" w:name="_Hlk160118372"/>
    <w:bookmarkStart w:id="4" w:name="_Hlk160118373"/>
    <w:bookmarkStart w:id="5" w:name="_Hlk160118392"/>
    <w:bookmarkStart w:id="6" w:name="_Hlk160118393"/>
    <w:bookmarkStart w:id="7" w:name="_Hlk160118409"/>
    <w:bookmarkStart w:id="8" w:name="_Hlk160118410"/>
    <w:bookmarkStart w:id="9" w:name="_Hlk160118434"/>
    <w:bookmarkStart w:id="10" w:name="_Hlk160118435"/>
    <w:bookmarkStart w:id="11" w:name="_Hlk160118455"/>
    <w:bookmarkStart w:id="12" w:name="_Hlk160118456"/>
    <w:r>
      <w:rPr>
        <w:sz w:val="18"/>
        <w:szCs w:val="18"/>
      </w:rPr>
      <w:t xml:space="preserve">Documento de referencia: </w:t>
    </w:r>
    <w:proofErr w:type="spellStart"/>
    <w:r w:rsidRPr="00784EA6">
      <w:rPr>
        <w:sz w:val="18"/>
        <w:szCs w:val="18"/>
      </w:rPr>
      <w:t>DEOEyG</w:t>
    </w:r>
    <w:proofErr w:type="spellEnd"/>
    <w:r w:rsidRPr="00784EA6">
      <w:rPr>
        <w:sz w:val="18"/>
        <w:szCs w:val="18"/>
      </w:rPr>
      <w:t>/</w:t>
    </w:r>
    <w:r>
      <w:rPr>
        <w:sz w:val="18"/>
        <w:szCs w:val="18"/>
      </w:rPr>
      <w:t>MN</w:t>
    </w:r>
    <w:r w:rsidRPr="00784EA6">
      <w:rPr>
        <w:sz w:val="18"/>
        <w:szCs w:val="18"/>
      </w:rPr>
      <w:t>/0</w:t>
    </w:r>
    <w:r>
      <w:rPr>
        <w:sz w:val="18"/>
        <w:szCs w:val="18"/>
      </w:rPr>
      <w:t>9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5BCE0B9C" w14:textId="77777777" w:rsidR="00AA4DB8" w:rsidRDefault="00AA4D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71FA" w14:textId="77777777" w:rsidR="00387115" w:rsidRDefault="003871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3BCC" w14:textId="7C1942D9" w:rsidR="00B71102" w:rsidRPr="00C02B2A" w:rsidRDefault="00B71102" w:rsidP="00B71102">
    <w:pPr>
      <w:pStyle w:val="Encabezado"/>
      <w:pageBreakBefore/>
      <w:tabs>
        <w:tab w:val="clear" w:pos="4419"/>
        <w:tab w:val="clear" w:pos="8838"/>
        <w:tab w:val="left" w:pos="6265"/>
      </w:tabs>
      <w:jc w:val="center"/>
      <w:rPr>
        <w:rFonts w:ascii="Arial" w:hAnsi="Arial" w:cs="Arial"/>
        <w:b/>
        <w:bCs/>
        <w:sz w:val="48"/>
        <w:szCs w:val="48"/>
      </w:rPr>
    </w:pPr>
    <w:r w:rsidRPr="00C02B2A">
      <w:rPr>
        <w:rFonts w:ascii="Arial" w:hAnsi="Arial" w:cs="Arial"/>
        <w:b/>
        <w:bCs/>
        <w:sz w:val="48"/>
        <w:szCs w:val="48"/>
      </w:rPr>
      <w:t xml:space="preserve">Anexo </w:t>
    </w:r>
    <w:r>
      <w:rPr>
        <w:rFonts w:ascii="Arial" w:hAnsi="Arial" w:cs="Arial"/>
        <w:b/>
        <w:bCs/>
        <w:sz w:val="48"/>
        <w:szCs w:val="48"/>
      </w:rPr>
      <w:t>5</w:t>
    </w:r>
  </w:p>
  <w:p w14:paraId="38B51D6B" w14:textId="7B552CF9" w:rsidR="00B71102" w:rsidRPr="00B71102" w:rsidRDefault="00B71102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173F5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389CC56C" wp14:editId="389CC56D">
            <wp:extent cx="1305161" cy="1238656"/>
            <wp:effectExtent l="0" t="0" r="9289" b="0"/>
            <wp:docPr id="12932199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115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5F8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C40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119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6D82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4DB8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102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2DF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8B1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23A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3877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4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636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6</cp:revision>
  <cp:lastPrinted>2025-04-03T23:44:00Z</cp:lastPrinted>
  <dcterms:created xsi:type="dcterms:W3CDTF">2025-04-23T23:41:00Z</dcterms:created>
  <dcterms:modified xsi:type="dcterms:W3CDTF">2025-05-02T23:43:00Z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